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747B" w14:textId="77777777" w:rsidR="004646E5" w:rsidRPr="00F83D3C" w:rsidRDefault="004646E5" w:rsidP="00A1634F">
      <w:pPr>
        <w:spacing w:after="0"/>
        <w:rPr>
          <w:rFonts w:ascii="Source Sans Pro" w:hAnsi="Source Sans Pro" w:cs="Calibri"/>
          <w:sz w:val="22"/>
          <w:lang w:val="fr-BE"/>
        </w:rPr>
      </w:pPr>
    </w:p>
    <w:tbl>
      <w:tblPr>
        <w:tblW w:w="10143" w:type="dxa"/>
        <w:jc w:val="center"/>
        <w:tblLayout w:type="fixed"/>
        <w:tblCellMar>
          <w:left w:w="0" w:type="dxa"/>
          <w:right w:w="0" w:type="dxa"/>
        </w:tblCellMar>
        <w:tblLook w:val="0000" w:firstRow="0" w:lastRow="0" w:firstColumn="0" w:lastColumn="0" w:noHBand="0" w:noVBand="0"/>
      </w:tblPr>
      <w:tblGrid>
        <w:gridCol w:w="3229"/>
        <w:gridCol w:w="3686"/>
        <w:gridCol w:w="3228"/>
      </w:tblGrid>
      <w:tr w:rsidR="00913900" w:rsidRPr="00F55EB0" w14:paraId="22066DD8" w14:textId="77777777" w:rsidTr="001B3FDF">
        <w:trPr>
          <w:trHeight w:val="1104"/>
          <w:jc w:val="center"/>
        </w:trPr>
        <w:tc>
          <w:tcPr>
            <w:tcW w:w="3229" w:type="dxa"/>
            <w:vAlign w:val="center"/>
          </w:tcPr>
          <w:p w14:paraId="1F8981CE" w14:textId="77777777" w:rsidR="00913900" w:rsidRPr="00F55EB0" w:rsidRDefault="00913900" w:rsidP="00A1634F">
            <w:pPr>
              <w:pStyle w:val="Heading1"/>
              <w:spacing w:after="0"/>
              <w:rPr>
                <w:rFonts w:ascii="Source Sans Pro" w:hAnsi="Source Sans Pro" w:cs="Calibri"/>
                <w:b w:val="0"/>
                <w:sz w:val="22"/>
                <w:szCs w:val="22"/>
                <w:lang w:val="fr-BE"/>
              </w:rPr>
            </w:pPr>
            <w:r w:rsidRPr="00F55EB0">
              <w:rPr>
                <w:rFonts w:ascii="Source Sans Pro" w:hAnsi="Source Sans Pro" w:cs="Calibri"/>
                <w:b w:val="0"/>
                <w:sz w:val="22"/>
                <w:szCs w:val="22"/>
                <w:lang w:val="fr-BE"/>
              </w:rPr>
              <w:t>Benelux</w:t>
            </w:r>
            <w:r w:rsidRPr="00F55EB0">
              <w:rPr>
                <w:rFonts w:ascii="Source Sans Pro" w:hAnsi="Source Sans Pro" w:cs="Calibri"/>
                <w:b w:val="0"/>
                <w:sz w:val="22"/>
                <w:szCs w:val="22"/>
                <w:lang w:val="fr-BE"/>
              </w:rPr>
              <w:br/>
              <w:t xml:space="preserve">Interparlementaire </w:t>
            </w:r>
            <w:proofErr w:type="spellStart"/>
            <w:r w:rsidRPr="00F55EB0">
              <w:rPr>
                <w:rFonts w:ascii="Source Sans Pro" w:hAnsi="Source Sans Pro" w:cs="Calibri"/>
                <w:b w:val="0"/>
                <w:sz w:val="22"/>
                <w:szCs w:val="22"/>
                <w:lang w:val="fr-BE"/>
              </w:rPr>
              <w:t>Assemblee</w:t>
            </w:r>
            <w:proofErr w:type="spellEnd"/>
          </w:p>
        </w:tc>
        <w:tc>
          <w:tcPr>
            <w:tcW w:w="3686" w:type="dxa"/>
          </w:tcPr>
          <w:p w14:paraId="79457DB2" w14:textId="77777777" w:rsidR="00913900" w:rsidRPr="00F55EB0" w:rsidRDefault="00913900" w:rsidP="00A1634F">
            <w:pPr>
              <w:pStyle w:val="NoSpacing"/>
              <w:jc w:val="center"/>
              <w:rPr>
                <w:rFonts w:ascii="Source Sans Pro" w:hAnsi="Source Sans Pro" w:cs="Calibri"/>
                <w:noProof/>
                <w:sz w:val="22"/>
                <w:lang w:val="fr-BE"/>
              </w:rPr>
            </w:pPr>
            <w:r w:rsidRPr="00F55EB0">
              <w:rPr>
                <w:rFonts w:ascii="Source Sans Pro" w:hAnsi="Source Sans Pro" w:cs="Calibri"/>
                <w:noProof/>
                <w:sz w:val="22"/>
                <w:lang w:val="en-IE" w:eastAsia="en-IE"/>
              </w:rPr>
              <w:drawing>
                <wp:inline distT="0" distB="0" distL="0" distR="0" wp14:anchorId="63F0B79D" wp14:editId="24C0E9D0">
                  <wp:extent cx="2338070" cy="99187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8070" cy="991870"/>
                          </a:xfrm>
                          <a:prstGeom prst="rect">
                            <a:avLst/>
                          </a:prstGeom>
                          <a:noFill/>
                          <a:ln>
                            <a:noFill/>
                          </a:ln>
                        </pic:spPr>
                      </pic:pic>
                    </a:graphicData>
                  </a:graphic>
                </wp:inline>
              </w:drawing>
            </w:r>
          </w:p>
        </w:tc>
        <w:tc>
          <w:tcPr>
            <w:tcW w:w="3228" w:type="dxa"/>
            <w:vAlign w:val="center"/>
          </w:tcPr>
          <w:p w14:paraId="79F408E7" w14:textId="77777777" w:rsidR="00913900" w:rsidRPr="00F55EB0" w:rsidRDefault="00913900" w:rsidP="00A1634F">
            <w:pPr>
              <w:pStyle w:val="Heading1"/>
              <w:spacing w:after="0"/>
              <w:rPr>
                <w:rFonts w:ascii="Source Sans Pro" w:hAnsi="Source Sans Pro" w:cs="Calibri"/>
                <w:b w:val="0"/>
                <w:sz w:val="22"/>
                <w:szCs w:val="22"/>
                <w:lang w:val="fr-BE"/>
              </w:rPr>
            </w:pPr>
            <w:r w:rsidRPr="00F55EB0">
              <w:rPr>
                <w:rFonts w:ascii="Source Sans Pro" w:hAnsi="Source Sans Pro" w:cs="Calibri"/>
                <w:b w:val="0"/>
                <w:sz w:val="22"/>
                <w:szCs w:val="22"/>
                <w:lang w:val="fr-BE"/>
              </w:rPr>
              <w:t>Assemblée Interparlementaire</w:t>
            </w:r>
            <w:r w:rsidRPr="00F55EB0">
              <w:rPr>
                <w:rFonts w:ascii="Source Sans Pro" w:hAnsi="Source Sans Pro" w:cs="Calibri"/>
                <w:b w:val="0"/>
                <w:sz w:val="22"/>
                <w:szCs w:val="22"/>
                <w:lang w:val="fr-BE"/>
              </w:rPr>
              <w:br/>
              <w:t>Benelux</w:t>
            </w:r>
          </w:p>
        </w:tc>
      </w:tr>
    </w:tbl>
    <w:p w14:paraId="6BB0CEE8" w14:textId="77777777" w:rsidR="00684E01" w:rsidRPr="00F55EB0" w:rsidRDefault="00684E01" w:rsidP="00A1634F">
      <w:pPr>
        <w:spacing w:after="0"/>
        <w:rPr>
          <w:rFonts w:ascii="Source Sans Pro" w:hAnsi="Source Sans Pro" w:cs="Calibri"/>
          <w:sz w:val="22"/>
          <w:lang w:val="fr-BE"/>
        </w:rPr>
        <w:sectPr w:rsidR="00684E01" w:rsidRPr="00F55EB0" w:rsidSect="00DE2576">
          <w:footerReference w:type="default" r:id="rId12"/>
          <w:footnotePr>
            <w:pos w:val="beneathText"/>
          </w:footnotePr>
          <w:pgSz w:w="11905" w:h="16837" w:code="9"/>
          <w:pgMar w:top="284" w:right="1134" w:bottom="851" w:left="1134" w:header="567" w:footer="567" w:gutter="0"/>
          <w:cols w:space="708"/>
          <w:docGrid w:linePitch="326"/>
        </w:sectPr>
      </w:pPr>
    </w:p>
    <w:p w14:paraId="78FE9982" w14:textId="77777777" w:rsidR="00DE2576" w:rsidRPr="00F55EB0" w:rsidRDefault="00DE2576" w:rsidP="00A1634F">
      <w:pPr>
        <w:spacing w:after="0"/>
        <w:rPr>
          <w:rFonts w:ascii="Source Sans Pro" w:hAnsi="Source Sans Pro" w:cs="Calibri"/>
          <w:sz w:val="22"/>
          <w:lang w:val="fr-BE"/>
        </w:rPr>
        <w:sectPr w:rsidR="00DE2576" w:rsidRPr="00F55EB0" w:rsidSect="00BD4D52">
          <w:footnotePr>
            <w:pos w:val="beneathText"/>
          </w:footnotePr>
          <w:type w:val="continuous"/>
          <w:pgSz w:w="11905" w:h="16837" w:code="9"/>
          <w:pgMar w:top="1418" w:right="1134" w:bottom="2127" w:left="1134" w:header="567" w:footer="567" w:gutter="0"/>
          <w:cols w:space="708"/>
          <w:docGrid w:linePitch="326"/>
        </w:sectPr>
      </w:pPr>
    </w:p>
    <w:tbl>
      <w:tblPr>
        <w:tblW w:w="10205" w:type="dxa"/>
        <w:jc w:val="center"/>
        <w:tblLayout w:type="fixed"/>
        <w:tblCellMar>
          <w:left w:w="0" w:type="dxa"/>
          <w:right w:w="0" w:type="dxa"/>
        </w:tblCellMar>
        <w:tblLook w:val="0000" w:firstRow="0" w:lastRow="0" w:firstColumn="0" w:lastColumn="0" w:noHBand="0" w:noVBand="0"/>
      </w:tblPr>
      <w:tblGrid>
        <w:gridCol w:w="4679"/>
        <w:gridCol w:w="991"/>
        <w:gridCol w:w="4535"/>
      </w:tblGrid>
      <w:tr w:rsidR="00BA4F50" w:rsidRPr="00F55EB0" w14:paraId="248C6C6F" w14:textId="77777777" w:rsidTr="00E104AC">
        <w:trPr>
          <w:cantSplit/>
          <w:trHeight w:val="20"/>
          <w:jc w:val="center"/>
        </w:trPr>
        <w:tc>
          <w:tcPr>
            <w:tcW w:w="4679" w:type="dxa"/>
            <w:vAlign w:val="center"/>
          </w:tcPr>
          <w:p w14:paraId="5A53FA8C" w14:textId="022CC1A6" w:rsidR="00BA4F50" w:rsidRPr="00DF64A8" w:rsidRDefault="00DF64A8" w:rsidP="00DF64A8">
            <w:pPr>
              <w:pStyle w:val="Heading1"/>
              <w:tabs>
                <w:tab w:val="left" w:pos="4679"/>
              </w:tabs>
              <w:spacing w:after="0"/>
              <w:ind w:right="284"/>
              <w:rPr>
                <w:rFonts w:ascii="Source Sans Pro" w:hAnsi="Source Sans Pro" w:cs="Calibri"/>
                <w:b w:val="0"/>
                <w:sz w:val="22"/>
                <w:szCs w:val="22"/>
                <w:lang w:val="nl-BE"/>
              </w:rPr>
            </w:pPr>
            <w:r w:rsidRPr="00DF64A8">
              <w:rPr>
                <w:rFonts w:ascii="Source Sans Pro" w:hAnsi="Source Sans Pro" w:cs="Calibri"/>
                <w:b w:val="0"/>
                <w:sz w:val="22"/>
                <w:szCs w:val="22"/>
                <w:lang w:val="nl-BE"/>
              </w:rPr>
              <w:t>XXX/2</w:t>
            </w:r>
          </w:p>
        </w:tc>
        <w:tc>
          <w:tcPr>
            <w:tcW w:w="991" w:type="dxa"/>
            <w:vAlign w:val="center"/>
          </w:tcPr>
          <w:p w14:paraId="62BFC378" w14:textId="77777777" w:rsidR="00BA4F50" w:rsidRPr="00F55EB0" w:rsidRDefault="00BA4F50" w:rsidP="00A1634F">
            <w:pPr>
              <w:pStyle w:val="Heading1"/>
              <w:spacing w:after="0"/>
              <w:ind w:left="34" w:right="106"/>
              <w:rPr>
                <w:rFonts w:ascii="Source Sans Pro" w:hAnsi="Source Sans Pro" w:cs="Calibri"/>
                <w:smallCaps/>
                <w:sz w:val="22"/>
                <w:szCs w:val="22"/>
                <w:lang w:val="nl-BE"/>
              </w:rPr>
            </w:pPr>
          </w:p>
        </w:tc>
        <w:tc>
          <w:tcPr>
            <w:tcW w:w="4535" w:type="dxa"/>
          </w:tcPr>
          <w:p w14:paraId="71BAC109" w14:textId="75DB023D" w:rsidR="00BA4F50" w:rsidRPr="00F55EB0" w:rsidRDefault="00DF64A8" w:rsidP="00A1634F">
            <w:pPr>
              <w:pStyle w:val="Heading1"/>
              <w:spacing w:after="0"/>
              <w:rPr>
                <w:rFonts w:ascii="Source Sans Pro" w:hAnsi="Source Sans Pro" w:cs="Calibri"/>
                <w:sz w:val="22"/>
                <w:szCs w:val="22"/>
                <w:lang w:val="fr-BE"/>
              </w:rPr>
            </w:pPr>
            <w:r w:rsidRPr="00DF64A8">
              <w:rPr>
                <w:rFonts w:ascii="Source Sans Pro" w:hAnsi="Source Sans Pro" w:cs="Calibri"/>
                <w:b w:val="0"/>
                <w:sz w:val="22"/>
                <w:szCs w:val="22"/>
                <w:lang w:val="nl-BE"/>
              </w:rPr>
              <w:t>XXX/2</w:t>
            </w:r>
          </w:p>
        </w:tc>
      </w:tr>
      <w:tr w:rsidR="00BA4F50" w:rsidRPr="00F55EB0" w14:paraId="69674B3D" w14:textId="77777777" w:rsidTr="00E104AC">
        <w:trPr>
          <w:cantSplit/>
          <w:trHeight w:val="20"/>
          <w:jc w:val="center"/>
        </w:trPr>
        <w:tc>
          <w:tcPr>
            <w:tcW w:w="4679" w:type="dxa"/>
            <w:vAlign w:val="center"/>
          </w:tcPr>
          <w:p w14:paraId="3A28A309" w14:textId="77777777" w:rsidR="00BA4F50" w:rsidRPr="00F55EB0" w:rsidRDefault="00BA4F50" w:rsidP="00A1634F">
            <w:pPr>
              <w:pStyle w:val="Heading1"/>
              <w:tabs>
                <w:tab w:val="left" w:pos="4679"/>
              </w:tabs>
              <w:spacing w:after="0"/>
              <w:ind w:right="284"/>
              <w:jc w:val="both"/>
              <w:rPr>
                <w:rFonts w:ascii="Source Sans Pro" w:hAnsi="Source Sans Pro" w:cs="Calibri"/>
                <w:b w:val="0"/>
                <w:sz w:val="22"/>
                <w:szCs w:val="22"/>
                <w:lang w:val="fr-BE"/>
              </w:rPr>
            </w:pPr>
          </w:p>
        </w:tc>
        <w:tc>
          <w:tcPr>
            <w:tcW w:w="991" w:type="dxa"/>
            <w:vAlign w:val="center"/>
          </w:tcPr>
          <w:p w14:paraId="44035966" w14:textId="77777777" w:rsidR="00BA4F50" w:rsidRPr="00F55EB0" w:rsidRDefault="00BA4F50" w:rsidP="00A1634F">
            <w:pPr>
              <w:pStyle w:val="Heading1"/>
              <w:spacing w:after="0"/>
              <w:ind w:left="34" w:right="106"/>
              <w:rPr>
                <w:rFonts w:ascii="Source Sans Pro" w:hAnsi="Source Sans Pro" w:cs="Calibri"/>
                <w:b w:val="0"/>
                <w:sz w:val="22"/>
                <w:szCs w:val="22"/>
                <w:lang w:val="fr-BE"/>
              </w:rPr>
            </w:pPr>
          </w:p>
        </w:tc>
        <w:tc>
          <w:tcPr>
            <w:tcW w:w="4535" w:type="dxa"/>
          </w:tcPr>
          <w:p w14:paraId="4F8982AF" w14:textId="77777777" w:rsidR="00BA4F50" w:rsidRPr="00F55EB0" w:rsidRDefault="00BA4F50" w:rsidP="00A1634F">
            <w:pPr>
              <w:pStyle w:val="Heading1"/>
              <w:spacing w:after="0"/>
              <w:jc w:val="both"/>
              <w:rPr>
                <w:rFonts w:ascii="Source Sans Pro" w:hAnsi="Source Sans Pro" w:cs="Calibri"/>
                <w:b w:val="0"/>
                <w:sz w:val="22"/>
                <w:szCs w:val="22"/>
                <w:lang w:val="fr-BE"/>
              </w:rPr>
            </w:pPr>
          </w:p>
        </w:tc>
      </w:tr>
    </w:tbl>
    <w:p w14:paraId="5CAF4E74" w14:textId="281E22A1" w:rsidR="003474FC" w:rsidRDefault="003474FC"/>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38"/>
        <w:gridCol w:w="4799"/>
      </w:tblGrid>
      <w:tr w:rsidR="0080572E" w:rsidRPr="005E26B1" w14:paraId="3648BA5D" w14:textId="77777777" w:rsidTr="003474FC">
        <w:tc>
          <w:tcPr>
            <w:tcW w:w="4838" w:type="dxa"/>
          </w:tcPr>
          <w:p w14:paraId="51514E24" w14:textId="35F03F0B" w:rsidR="0080572E" w:rsidRPr="00F55EB0" w:rsidRDefault="0080572E" w:rsidP="005E26B1">
            <w:pPr>
              <w:pStyle w:val="NoSpacing"/>
              <w:jc w:val="center"/>
              <w:rPr>
                <w:rFonts w:ascii="Source Sans Pro" w:hAnsi="Source Sans Pro" w:cs="Calibri"/>
                <w:b/>
                <w:sz w:val="22"/>
                <w:lang w:val="nl-BE"/>
              </w:rPr>
            </w:pPr>
          </w:p>
        </w:tc>
        <w:tc>
          <w:tcPr>
            <w:tcW w:w="4799" w:type="dxa"/>
          </w:tcPr>
          <w:p w14:paraId="372F8D33" w14:textId="77777777" w:rsidR="0080572E" w:rsidRPr="00343584" w:rsidRDefault="0080572E" w:rsidP="005E26B1">
            <w:pPr>
              <w:autoSpaceDE w:val="0"/>
              <w:autoSpaceDN w:val="0"/>
              <w:adjustRightInd w:val="0"/>
              <w:spacing w:after="0"/>
              <w:contextualSpacing/>
              <w:jc w:val="center"/>
              <w:rPr>
                <w:rFonts w:ascii="Source Sans Pro" w:hAnsi="Source Sans Pro" w:cs="Arial-BoldItalicMT"/>
                <w:b/>
                <w:sz w:val="22"/>
                <w:lang w:val="fr-BE"/>
              </w:rPr>
            </w:pPr>
          </w:p>
        </w:tc>
      </w:tr>
      <w:tr w:rsidR="005E26B1" w:rsidRPr="003474FC" w14:paraId="65FC4CE9" w14:textId="77777777" w:rsidTr="003474FC">
        <w:tc>
          <w:tcPr>
            <w:tcW w:w="4838" w:type="dxa"/>
          </w:tcPr>
          <w:p w14:paraId="250F88DA" w14:textId="77777777" w:rsidR="005E26B1" w:rsidRPr="00F55EB0" w:rsidRDefault="005E26B1" w:rsidP="005E26B1">
            <w:pPr>
              <w:pStyle w:val="NoSpacing"/>
              <w:jc w:val="center"/>
              <w:rPr>
                <w:rFonts w:ascii="Source Sans Pro" w:hAnsi="Source Sans Pro" w:cs="Calibri"/>
                <w:b/>
                <w:sz w:val="22"/>
                <w:lang w:val="nl-BE"/>
              </w:rPr>
            </w:pPr>
            <w:r w:rsidRPr="00F55EB0">
              <w:rPr>
                <w:rFonts w:ascii="Source Sans Pro" w:hAnsi="Source Sans Pro" w:cs="Calibri"/>
                <w:b/>
                <w:sz w:val="22"/>
                <w:lang w:val="nl-BE"/>
              </w:rPr>
              <w:t>VOORSTEL VAN AANBEVELING</w:t>
            </w:r>
          </w:p>
          <w:p w14:paraId="6001D402" w14:textId="412F2F23" w:rsidR="005E26B1" w:rsidRPr="00F55EB0" w:rsidRDefault="005E26B1" w:rsidP="005E26B1">
            <w:pPr>
              <w:pStyle w:val="NoSpacing"/>
              <w:jc w:val="center"/>
              <w:rPr>
                <w:rFonts w:ascii="Source Sans Pro" w:hAnsi="Source Sans Pro" w:cs="Calibri"/>
                <w:b/>
                <w:sz w:val="22"/>
                <w:lang w:val="nl-BE"/>
              </w:rPr>
            </w:pPr>
            <w:r w:rsidRPr="00F55EB0">
              <w:rPr>
                <w:rFonts w:ascii="Source Sans Pro" w:hAnsi="Source Sans Pro" w:cs="Calibri"/>
                <w:b/>
                <w:sz w:val="22"/>
                <w:lang w:val="nl-BE"/>
              </w:rPr>
              <w:t xml:space="preserve">betreffende grensoverschrijdend telewerk in de </w:t>
            </w:r>
            <w:proofErr w:type="spellStart"/>
            <w:r>
              <w:rPr>
                <w:rFonts w:ascii="Source Sans Pro" w:hAnsi="Source Sans Pro" w:cs="Calibri"/>
                <w:b/>
                <w:sz w:val="22"/>
                <w:lang w:val="nl-BE"/>
              </w:rPr>
              <w:t>Beneluxlanden</w:t>
            </w:r>
            <w:proofErr w:type="spellEnd"/>
          </w:p>
          <w:p w14:paraId="1AF3761C" w14:textId="77777777" w:rsidR="005E26B1" w:rsidRPr="00F55EB0" w:rsidRDefault="005E26B1" w:rsidP="00E34523">
            <w:pPr>
              <w:pStyle w:val="NoSpacing"/>
              <w:jc w:val="center"/>
              <w:rPr>
                <w:rFonts w:ascii="Source Sans Pro" w:hAnsi="Source Sans Pro" w:cs="Calibri"/>
                <w:b/>
                <w:sz w:val="22"/>
                <w:lang w:val="nl-BE"/>
              </w:rPr>
            </w:pPr>
          </w:p>
        </w:tc>
        <w:tc>
          <w:tcPr>
            <w:tcW w:w="4799" w:type="dxa"/>
          </w:tcPr>
          <w:p w14:paraId="11341A2E" w14:textId="77777777" w:rsidR="005E26B1" w:rsidRPr="00343584" w:rsidRDefault="005E26B1" w:rsidP="005E26B1">
            <w:pPr>
              <w:autoSpaceDE w:val="0"/>
              <w:autoSpaceDN w:val="0"/>
              <w:adjustRightInd w:val="0"/>
              <w:spacing w:after="0"/>
              <w:contextualSpacing/>
              <w:jc w:val="center"/>
              <w:rPr>
                <w:rFonts w:ascii="Source Sans Pro" w:hAnsi="Source Sans Pro" w:cs="Arial-BoldItalicMT"/>
                <w:b/>
                <w:sz w:val="22"/>
                <w:lang w:val="fr-BE"/>
              </w:rPr>
            </w:pPr>
            <w:r w:rsidRPr="00343584">
              <w:rPr>
                <w:rFonts w:ascii="Source Sans Pro" w:hAnsi="Source Sans Pro" w:cs="Arial-BoldItalicMT"/>
                <w:b/>
                <w:sz w:val="22"/>
                <w:lang w:val="fr-BE"/>
              </w:rPr>
              <w:t>PROPOSITION DE RECOMMANDATION</w:t>
            </w:r>
          </w:p>
          <w:p w14:paraId="16DD01F3" w14:textId="77777777" w:rsidR="005E26B1" w:rsidRPr="00343584" w:rsidRDefault="005E26B1" w:rsidP="005E26B1">
            <w:pPr>
              <w:autoSpaceDE w:val="0"/>
              <w:autoSpaceDN w:val="0"/>
              <w:adjustRightInd w:val="0"/>
              <w:spacing w:after="0"/>
              <w:contextualSpacing/>
              <w:jc w:val="center"/>
              <w:rPr>
                <w:rFonts w:ascii="Source Sans Pro" w:hAnsi="Source Sans Pro" w:cs="Arial-BoldItalicMT"/>
                <w:b/>
                <w:sz w:val="22"/>
                <w:lang w:val="fr-BE"/>
              </w:rPr>
            </w:pPr>
            <w:r w:rsidRPr="00343584">
              <w:rPr>
                <w:rFonts w:ascii="Source Sans Pro" w:hAnsi="Source Sans Pro" w:cs="Arial-BoldItalicMT"/>
                <w:b/>
                <w:sz w:val="22"/>
                <w:lang w:val="fr-BE"/>
              </w:rPr>
              <w:t>relative au télétravail transfrontalier dans les pays du Benelux</w:t>
            </w:r>
          </w:p>
          <w:p w14:paraId="0906D3E9" w14:textId="77777777" w:rsidR="005E26B1" w:rsidRPr="003474FC"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4802A379" w14:textId="77777777" w:rsidTr="003474FC">
        <w:tc>
          <w:tcPr>
            <w:tcW w:w="4838" w:type="dxa"/>
          </w:tcPr>
          <w:p w14:paraId="62724947" w14:textId="77777777" w:rsidR="005E26B1" w:rsidRPr="00F55EB0" w:rsidRDefault="005E26B1" w:rsidP="005E26B1">
            <w:pPr>
              <w:spacing w:after="0"/>
              <w:rPr>
                <w:rFonts w:ascii="Source Sans Pro" w:hAnsi="Source Sans Pro" w:cs="Calibri"/>
                <w:sz w:val="22"/>
                <w:lang w:val="nl-BE"/>
              </w:rPr>
            </w:pPr>
            <w:r w:rsidRPr="00F55EB0">
              <w:rPr>
                <w:rFonts w:ascii="Source Sans Pro" w:hAnsi="Source Sans Pro" w:cs="Calibri"/>
                <w:sz w:val="22"/>
                <w:lang w:val="nl-BE"/>
              </w:rPr>
              <w:t>De Assemblee,</w:t>
            </w:r>
          </w:p>
          <w:p w14:paraId="30275A83" w14:textId="77777777" w:rsidR="005E26B1" w:rsidRPr="00F55EB0" w:rsidRDefault="005E26B1" w:rsidP="00E34523">
            <w:pPr>
              <w:pStyle w:val="NoSpacing"/>
              <w:jc w:val="center"/>
              <w:rPr>
                <w:rFonts w:ascii="Source Sans Pro" w:hAnsi="Source Sans Pro" w:cs="Calibri"/>
                <w:b/>
                <w:sz w:val="22"/>
                <w:lang w:val="nl-BE"/>
              </w:rPr>
            </w:pPr>
          </w:p>
        </w:tc>
        <w:tc>
          <w:tcPr>
            <w:tcW w:w="4799" w:type="dxa"/>
          </w:tcPr>
          <w:p w14:paraId="0D4BA888"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L’assemblée,</w:t>
            </w:r>
          </w:p>
          <w:p w14:paraId="70C81CB8"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nl-BE"/>
              </w:rPr>
            </w:pPr>
          </w:p>
        </w:tc>
      </w:tr>
      <w:tr w:rsidR="005E26B1" w:rsidRPr="005E26B1" w14:paraId="6A8FA5A0" w14:textId="77777777" w:rsidTr="003474FC">
        <w:tc>
          <w:tcPr>
            <w:tcW w:w="4838" w:type="dxa"/>
          </w:tcPr>
          <w:p w14:paraId="0C7C2FCD" w14:textId="77777777" w:rsidR="005E26B1" w:rsidRPr="00F55EB0" w:rsidRDefault="005E26B1" w:rsidP="005E26B1">
            <w:pPr>
              <w:spacing w:after="0"/>
              <w:rPr>
                <w:rFonts w:ascii="Source Sans Pro" w:hAnsi="Source Sans Pro" w:cs="Calibri"/>
                <w:b/>
                <w:sz w:val="22"/>
                <w:lang w:val="nl-BE"/>
              </w:rPr>
            </w:pPr>
            <w:r w:rsidRPr="00F55EB0">
              <w:rPr>
                <w:rFonts w:ascii="Source Sans Pro" w:hAnsi="Source Sans Pro" w:cs="Calibri"/>
                <w:b/>
                <w:sz w:val="22"/>
                <w:lang w:val="nl-BE"/>
              </w:rPr>
              <w:t xml:space="preserve">GELET OP: </w:t>
            </w:r>
          </w:p>
          <w:p w14:paraId="09052C3D" w14:textId="77777777" w:rsidR="005E26B1" w:rsidRPr="00F55EB0" w:rsidRDefault="005E26B1" w:rsidP="00E34523">
            <w:pPr>
              <w:pStyle w:val="NoSpacing"/>
              <w:jc w:val="center"/>
              <w:rPr>
                <w:rFonts w:ascii="Source Sans Pro" w:hAnsi="Source Sans Pro" w:cs="Calibri"/>
                <w:b/>
                <w:sz w:val="22"/>
                <w:lang w:val="nl-BE"/>
              </w:rPr>
            </w:pPr>
          </w:p>
        </w:tc>
        <w:tc>
          <w:tcPr>
            <w:tcW w:w="4799" w:type="dxa"/>
          </w:tcPr>
          <w:p w14:paraId="61C7A7FD" w14:textId="77777777" w:rsidR="005E26B1" w:rsidRPr="00343584" w:rsidRDefault="005E26B1" w:rsidP="005E26B1">
            <w:pPr>
              <w:autoSpaceDE w:val="0"/>
              <w:autoSpaceDN w:val="0"/>
              <w:adjustRightInd w:val="0"/>
              <w:spacing w:after="0"/>
              <w:contextualSpacing/>
              <w:rPr>
                <w:rFonts w:ascii="Source Sans Pro" w:hAnsi="Source Sans Pro" w:cs="Arial-BoldItalicMT"/>
                <w:b/>
                <w:sz w:val="22"/>
                <w:lang w:val="fr-BE"/>
              </w:rPr>
            </w:pPr>
            <w:r w:rsidRPr="00343584">
              <w:rPr>
                <w:rFonts w:ascii="Source Sans Pro" w:hAnsi="Source Sans Pro" w:cs="Arial-BoldItalicMT"/>
                <w:b/>
                <w:sz w:val="22"/>
                <w:lang w:val="fr-BE"/>
              </w:rPr>
              <w:t>VU :</w:t>
            </w:r>
          </w:p>
          <w:p w14:paraId="267ED3CA"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nl-BE"/>
              </w:rPr>
            </w:pPr>
          </w:p>
        </w:tc>
      </w:tr>
      <w:tr w:rsidR="005E26B1" w:rsidRPr="005E26B1" w14:paraId="530621C2" w14:textId="77777777" w:rsidTr="003474FC">
        <w:tc>
          <w:tcPr>
            <w:tcW w:w="4838" w:type="dxa"/>
          </w:tcPr>
          <w:p w14:paraId="005F7450" w14:textId="77777777" w:rsidR="005E26B1" w:rsidRPr="00163042" w:rsidRDefault="005E26B1" w:rsidP="005E26B1">
            <w:pPr>
              <w:contextualSpacing/>
              <w:rPr>
                <w:rFonts w:ascii="Source Sans Pro" w:hAnsi="Source Sans Pro" w:cs="ArialMT"/>
                <w:sz w:val="22"/>
                <w:lang w:val="nl-BE"/>
              </w:rPr>
            </w:pPr>
            <w:r w:rsidRPr="00F55EB0">
              <w:rPr>
                <w:rFonts w:ascii="Source Sans Pro" w:hAnsi="Source Sans Pro" w:cs="ArialMT"/>
                <w:sz w:val="22"/>
                <w:lang w:val="nl-BE"/>
              </w:rPr>
              <w:t xml:space="preserve">A.  </w:t>
            </w:r>
            <w:r w:rsidRPr="00163042">
              <w:rPr>
                <w:rFonts w:ascii="Source Sans Pro" w:hAnsi="Source Sans Pro" w:cs="ArialMT"/>
                <w:sz w:val="22"/>
                <w:lang w:val="nl-BE"/>
              </w:rPr>
              <w:t xml:space="preserve"> </w:t>
            </w:r>
            <w:r w:rsidRPr="00046611">
              <w:rPr>
                <w:rFonts w:ascii="Source Sans Pro" w:hAnsi="Source Sans Pro" w:cs="ArialMT"/>
                <w:sz w:val="22"/>
                <w:lang w:val="nl-BE"/>
              </w:rPr>
              <w:t xml:space="preserve">het Verdrag tot instelling van de Benelux Unie, inzonderheid artikel 2, lid 1, alsmede lid 2 (onder letter a) en artikel 4;  </w:t>
            </w:r>
          </w:p>
          <w:p w14:paraId="2F4E219E" w14:textId="77777777" w:rsidR="005E26B1" w:rsidRPr="00F55EB0" w:rsidRDefault="005E26B1" w:rsidP="00E34523">
            <w:pPr>
              <w:pStyle w:val="NoSpacing"/>
              <w:jc w:val="center"/>
              <w:rPr>
                <w:rFonts w:ascii="Source Sans Pro" w:hAnsi="Source Sans Pro" w:cs="Calibri"/>
                <w:b/>
                <w:sz w:val="22"/>
                <w:lang w:val="nl-BE"/>
              </w:rPr>
            </w:pPr>
          </w:p>
        </w:tc>
        <w:tc>
          <w:tcPr>
            <w:tcW w:w="4799" w:type="dxa"/>
          </w:tcPr>
          <w:p w14:paraId="7CCFECF3"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A. le Traité instituant l'Union Benelux, en particulier l’article 2, paragraphe 1, ainsi que le paragraphe 2 (point a) et l’article 4 ;</w:t>
            </w:r>
          </w:p>
          <w:p w14:paraId="636C7660"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6041A3DB" w14:textId="77777777" w:rsidTr="003474FC">
        <w:tc>
          <w:tcPr>
            <w:tcW w:w="4838" w:type="dxa"/>
          </w:tcPr>
          <w:p w14:paraId="3F4032C8" w14:textId="77777777" w:rsidR="005E26B1" w:rsidRPr="00F55EB0" w:rsidRDefault="005E26B1" w:rsidP="005E26B1">
            <w:pPr>
              <w:spacing w:after="0"/>
              <w:contextualSpacing/>
              <w:rPr>
                <w:rFonts w:ascii="Source Sans Pro" w:hAnsi="Source Sans Pro" w:cs="ArialMT"/>
                <w:sz w:val="22"/>
                <w:lang w:val="nl-BE"/>
              </w:rPr>
            </w:pPr>
            <w:r w:rsidRPr="00F55EB0">
              <w:rPr>
                <w:rFonts w:ascii="Source Sans Pro" w:hAnsi="Source Sans Pro" w:cs="ArialMT"/>
                <w:sz w:val="22"/>
                <w:lang w:val="nl-BE"/>
              </w:rPr>
              <w:t xml:space="preserve">B. de tussen de Benelux-landen op bilateraal niveau afgesloten verdragen ter vermijding van dubbele belastingheffing, met inbegrip van de betreffende protocollen en </w:t>
            </w:r>
            <w:proofErr w:type="spellStart"/>
            <w:r w:rsidRPr="00F55EB0">
              <w:rPr>
                <w:rFonts w:ascii="Source Sans Pro" w:hAnsi="Source Sans Pro" w:cs="ArialMT"/>
                <w:sz w:val="22"/>
                <w:lang w:val="nl-BE"/>
              </w:rPr>
              <w:t>avenanten</w:t>
            </w:r>
            <w:proofErr w:type="spellEnd"/>
            <w:r w:rsidRPr="00F55EB0">
              <w:rPr>
                <w:rFonts w:ascii="Source Sans Pro" w:hAnsi="Source Sans Pro" w:cs="ArialMT"/>
                <w:sz w:val="22"/>
                <w:lang w:val="nl-BE"/>
              </w:rPr>
              <w:t>;</w:t>
            </w:r>
          </w:p>
          <w:p w14:paraId="232E9675"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7D287707"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B. les conventions préventives de la double imposition conclues bilatéralement entre les pays du Benelux, en ce compris les protocoles et avenants y afférents ;</w:t>
            </w:r>
          </w:p>
          <w:p w14:paraId="4D4EB9FB"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79FC64D9" w14:textId="77777777" w:rsidTr="003474FC">
        <w:tc>
          <w:tcPr>
            <w:tcW w:w="4838" w:type="dxa"/>
          </w:tcPr>
          <w:p w14:paraId="0357B029" w14:textId="77777777" w:rsidR="005E26B1" w:rsidRPr="00F55EB0" w:rsidRDefault="005E26B1" w:rsidP="005E26B1">
            <w:pPr>
              <w:spacing w:after="0"/>
              <w:contextualSpacing/>
              <w:rPr>
                <w:rFonts w:ascii="Source Sans Pro" w:hAnsi="Source Sans Pro" w:cs="ArialMT"/>
                <w:sz w:val="22"/>
                <w:lang w:val="nl-BE"/>
              </w:rPr>
            </w:pPr>
            <w:r w:rsidRPr="00F55EB0">
              <w:rPr>
                <w:rFonts w:ascii="Source Sans Pro" w:hAnsi="Source Sans Pro" w:cs="ArialMT"/>
                <w:sz w:val="22"/>
                <w:lang w:val="nl-BE"/>
              </w:rPr>
              <w:t>C. d</w:t>
            </w:r>
            <w:r w:rsidRPr="00F55EB0">
              <w:rPr>
                <w:rFonts w:ascii="Source Sans Pro" w:hAnsi="Source Sans Pro" w:cstheme="minorHAnsi"/>
                <w:sz w:val="22"/>
                <w:lang w:val="nl-BE"/>
              </w:rPr>
              <w:t>e Overeenkomst tussen de bevoegde autoriteiten van Nederland en België over de interpretatie van artikel 5 van het belastingverdrag (vaste inrichting) bij thuiswerkende werknemers (</w:t>
            </w:r>
            <w:r w:rsidRPr="00F55EB0">
              <w:rPr>
                <w:rFonts w:ascii="Source Sans Pro" w:hAnsi="Source Sans Pro" w:cstheme="minorHAnsi"/>
                <w:i/>
                <w:sz w:val="22"/>
                <w:lang w:val="nl-BE"/>
              </w:rPr>
              <w:t>S</w:t>
            </w:r>
            <w:r w:rsidRPr="00F55EB0">
              <w:rPr>
                <w:rFonts w:ascii="Source Sans Pro" w:hAnsi="Source Sans Pro" w:cstheme="minorHAnsi"/>
                <w:i/>
                <w:sz w:val="22"/>
                <w:shd w:val="clear" w:color="auto" w:fill="FFFFFF"/>
                <w:lang w:val="nl-BE"/>
              </w:rPr>
              <w:t>taatscourant, 8 december 2023, 33856</w:t>
            </w:r>
            <w:r w:rsidRPr="00F55EB0">
              <w:rPr>
                <w:rFonts w:ascii="Source Sans Pro" w:hAnsi="Source Sans Pro" w:cstheme="minorHAnsi"/>
                <w:sz w:val="22"/>
                <w:shd w:val="clear" w:color="auto" w:fill="FFFFFF"/>
                <w:lang w:val="nl-BE"/>
              </w:rPr>
              <w:t xml:space="preserve"> en </w:t>
            </w:r>
            <w:r w:rsidRPr="00F55EB0">
              <w:rPr>
                <w:rFonts w:ascii="Source Sans Pro" w:hAnsi="Source Sans Pro" w:cstheme="minorHAnsi"/>
                <w:i/>
                <w:sz w:val="22"/>
                <w:shd w:val="clear" w:color="auto" w:fill="FFFFFF"/>
                <w:lang w:val="nl-BE"/>
              </w:rPr>
              <w:t>Belgisch Staatsblad, 12 december 2023, 117345</w:t>
            </w:r>
            <w:r w:rsidRPr="00F55EB0">
              <w:rPr>
                <w:rFonts w:ascii="Source Sans Pro" w:hAnsi="Source Sans Pro" w:cstheme="minorHAnsi"/>
                <w:sz w:val="22"/>
                <w:shd w:val="clear" w:color="auto" w:fill="FFFFFF"/>
                <w:lang w:val="nl-BE"/>
              </w:rPr>
              <w:t>)</w:t>
            </w:r>
            <w:r w:rsidRPr="00F55EB0">
              <w:rPr>
                <w:rFonts w:ascii="Source Sans Pro" w:hAnsi="Source Sans Pro" w:cstheme="minorHAnsi"/>
                <w:i/>
                <w:sz w:val="22"/>
                <w:shd w:val="clear" w:color="auto" w:fill="FFFFFF"/>
                <w:lang w:val="nl-BE"/>
              </w:rPr>
              <w:t>;</w:t>
            </w:r>
          </w:p>
          <w:p w14:paraId="6E1A1F38"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189A1868"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C. l’Accord entre les autorités compétentes des Pays-Bas et de la Belgique </w:t>
            </w:r>
            <w:proofErr w:type="spellStart"/>
            <w:r w:rsidRPr="00343584">
              <w:rPr>
                <w:rFonts w:ascii="Source Sans Pro" w:hAnsi="Source Sans Pro" w:cs="Arial-BoldItalicMT"/>
                <w:sz w:val="22"/>
                <w:lang w:val="fr-BE"/>
              </w:rPr>
              <w:t>rélatif</w:t>
            </w:r>
            <w:proofErr w:type="spellEnd"/>
            <w:r w:rsidRPr="00343584">
              <w:rPr>
                <w:rFonts w:ascii="Source Sans Pro" w:hAnsi="Source Sans Pro" w:cs="Arial-BoldItalicMT"/>
                <w:sz w:val="22"/>
                <w:lang w:val="fr-BE"/>
              </w:rPr>
              <w:t xml:space="preserve"> à l'interprétation de l'article 5 de la convention fiscale (établissement stable) dans le cas de salariés travaillant à domicile (</w:t>
            </w:r>
            <w:proofErr w:type="spellStart"/>
            <w:r w:rsidRPr="00343584">
              <w:rPr>
                <w:rFonts w:ascii="Source Sans Pro" w:hAnsi="Source Sans Pro" w:cs="Arial-BoldItalicMT"/>
                <w:sz w:val="22"/>
                <w:lang w:val="fr-BE"/>
              </w:rPr>
              <w:t>Staatscourant</w:t>
            </w:r>
            <w:proofErr w:type="spellEnd"/>
            <w:r w:rsidRPr="00343584">
              <w:rPr>
                <w:rFonts w:ascii="Source Sans Pro" w:hAnsi="Source Sans Pro" w:cs="Arial-BoldItalicMT"/>
                <w:sz w:val="22"/>
                <w:lang w:val="fr-BE"/>
              </w:rPr>
              <w:t>, 8 décembre 2023, 33856 et Moniteur belge, 12 décembre 2023, 117345) ;</w:t>
            </w:r>
          </w:p>
          <w:p w14:paraId="7B2C9FD3"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4667ED7F" w14:textId="77777777" w:rsidTr="003474FC">
        <w:tc>
          <w:tcPr>
            <w:tcW w:w="4838" w:type="dxa"/>
          </w:tcPr>
          <w:p w14:paraId="794EFE35" w14:textId="77777777" w:rsidR="005E26B1" w:rsidRPr="00F55EB0" w:rsidRDefault="005E26B1" w:rsidP="005E26B1">
            <w:pPr>
              <w:spacing w:after="0"/>
              <w:contextualSpacing/>
              <w:rPr>
                <w:rFonts w:ascii="Source Sans Pro" w:hAnsi="Source Sans Pro" w:cs="ArialMT"/>
                <w:sz w:val="22"/>
                <w:lang w:val="nl-BE"/>
              </w:rPr>
            </w:pPr>
            <w:r w:rsidRPr="00F55EB0">
              <w:rPr>
                <w:rFonts w:ascii="Source Sans Pro" w:hAnsi="Source Sans Pro" w:cs="ArialMT"/>
                <w:sz w:val="22"/>
                <w:lang w:val="nl-BE"/>
              </w:rPr>
              <w:t>D. de Belgische, Luxemburgse en Nederlandse nationale fiscale wetgeving en de lagere fiscale regelgeving;</w:t>
            </w:r>
          </w:p>
          <w:p w14:paraId="4B99F453"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627F91B9"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D. les lois fiscales nationales belges, luxembourgeoises et néerlandaises et les réglementations fiscales inférieures ;</w:t>
            </w:r>
          </w:p>
          <w:p w14:paraId="6C3EF5C8"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4C141262" w14:textId="77777777" w:rsidTr="003474FC">
        <w:tc>
          <w:tcPr>
            <w:tcW w:w="4838" w:type="dxa"/>
          </w:tcPr>
          <w:p w14:paraId="2C07ABE4" w14:textId="77777777" w:rsidR="005E26B1" w:rsidRPr="00F55EB0" w:rsidRDefault="005E26B1" w:rsidP="005E26B1">
            <w:pPr>
              <w:spacing w:after="0"/>
              <w:contextualSpacing/>
              <w:rPr>
                <w:rFonts w:ascii="Source Sans Pro" w:hAnsi="Source Sans Pro" w:cs="ArialMT"/>
                <w:sz w:val="22"/>
                <w:lang w:val="nl-BE"/>
              </w:rPr>
            </w:pPr>
            <w:r w:rsidRPr="00F55EB0">
              <w:rPr>
                <w:rFonts w:ascii="Source Sans Pro" w:hAnsi="Source Sans Pro" w:cs="ArialMT"/>
                <w:sz w:val="22"/>
                <w:lang w:val="nl-BE"/>
              </w:rPr>
              <w:t xml:space="preserve">E. de Verordeningen (EG) </w:t>
            </w:r>
            <w:proofErr w:type="spellStart"/>
            <w:r w:rsidRPr="00F55EB0">
              <w:rPr>
                <w:rFonts w:ascii="Source Sans Pro" w:hAnsi="Source Sans Pro" w:cs="ArialMT"/>
                <w:sz w:val="22"/>
                <w:lang w:val="nl-BE"/>
              </w:rPr>
              <w:t>nrs</w:t>
            </w:r>
            <w:proofErr w:type="spellEnd"/>
            <w:r w:rsidRPr="00F55EB0">
              <w:rPr>
                <w:rFonts w:ascii="Source Sans Pro" w:hAnsi="Source Sans Pro" w:cs="ArialMT"/>
                <w:sz w:val="22"/>
                <w:lang w:val="nl-BE"/>
              </w:rPr>
              <w:t>. 883/2004 en 987/2009 van het Europees Parlement en de Raad betreffende de coördinatie van de socialezekerheidsstelsels;</w:t>
            </w:r>
          </w:p>
          <w:p w14:paraId="41150D5E"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2F9F978E"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E. les Règlements (CE) no. 883/2004 et 987/2009 du Parlement européen et du Conseil portant sur la coordination des systèmes de sécurité sociale ;</w:t>
            </w:r>
          </w:p>
          <w:p w14:paraId="5FAEB2F4"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329845D7" w14:textId="77777777" w:rsidTr="003474FC">
        <w:tc>
          <w:tcPr>
            <w:tcW w:w="4838" w:type="dxa"/>
          </w:tcPr>
          <w:p w14:paraId="2AA5FEA1" w14:textId="77777777" w:rsidR="005E26B1" w:rsidRPr="00F55EB0" w:rsidRDefault="005E26B1" w:rsidP="005E26B1">
            <w:pPr>
              <w:spacing w:after="0"/>
              <w:contextualSpacing/>
              <w:rPr>
                <w:rFonts w:ascii="Source Sans Pro" w:hAnsi="Source Sans Pro" w:cs="ArialMT"/>
                <w:sz w:val="22"/>
                <w:lang w:val="nl-BE"/>
              </w:rPr>
            </w:pPr>
            <w:r w:rsidRPr="00F55EB0">
              <w:rPr>
                <w:rFonts w:ascii="Source Sans Pro" w:hAnsi="Source Sans Pro" w:cs="ArialMT"/>
                <w:sz w:val="22"/>
                <w:lang w:val="nl-BE"/>
              </w:rPr>
              <w:t>F. de Kaderovereenkomst inzake de toepassing van artikel 16, lid 1, van Verordening (EG) nr. 883/2004 in geval van gewoonlijk grensoverschrijdend telewerk, die intussen reeds door 23 landen werd ondertekend;</w:t>
            </w:r>
          </w:p>
          <w:p w14:paraId="4C8044C2"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696F930D"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F. l'Accord-cadre relatif à l'application de l'article 16, paragraphe 1, du règlement (CE) n° 883/2004 en cas de télétravail transfrontalier habituel, signé depuis par 23 pays ;</w:t>
            </w:r>
          </w:p>
          <w:p w14:paraId="6FDAA928"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08BAD426" w14:textId="77777777" w:rsidTr="003474FC">
        <w:tc>
          <w:tcPr>
            <w:tcW w:w="4838" w:type="dxa"/>
          </w:tcPr>
          <w:p w14:paraId="7F1405C4" w14:textId="77777777" w:rsidR="005E26B1" w:rsidRPr="00F55EB0" w:rsidRDefault="005E26B1" w:rsidP="005E26B1">
            <w:pPr>
              <w:spacing w:after="0"/>
              <w:rPr>
                <w:rFonts w:ascii="Source Sans Pro" w:hAnsi="Source Sans Pro" w:cs="Calibri"/>
                <w:b/>
                <w:sz w:val="22"/>
                <w:lang w:val="nl-BE"/>
              </w:rPr>
            </w:pPr>
            <w:r w:rsidRPr="00F55EB0">
              <w:rPr>
                <w:rFonts w:ascii="Source Sans Pro" w:hAnsi="Source Sans Pro" w:cs="Calibri"/>
                <w:b/>
                <w:sz w:val="22"/>
                <w:lang w:val="nl-BE"/>
              </w:rPr>
              <w:t xml:space="preserve">OVERWEGENDE DAT: </w:t>
            </w:r>
          </w:p>
          <w:p w14:paraId="59D35BA6" w14:textId="77777777" w:rsidR="005E26B1" w:rsidRPr="005E26B1" w:rsidRDefault="005E26B1" w:rsidP="00E34523">
            <w:pPr>
              <w:pStyle w:val="NoSpacing"/>
              <w:jc w:val="center"/>
              <w:rPr>
                <w:rFonts w:ascii="Source Sans Pro" w:hAnsi="Source Sans Pro" w:cs="Calibri"/>
                <w:b/>
                <w:sz w:val="22"/>
                <w:lang w:val="fr-FR"/>
              </w:rPr>
            </w:pPr>
          </w:p>
        </w:tc>
        <w:tc>
          <w:tcPr>
            <w:tcW w:w="4799" w:type="dxa"/>
          </w:tcPr>
          <w:p w14:paraId="30F9673F" w14:textId="77777777" w:rsidR="005E26B1" w:rsidRPr="00343584" w:rsidRDefault="005E26B1" w:rsidP="005E26B1">
            <w:pPr>
              <w:autoSpaceDE w:val="0"/>
              <w:autoSpaceDN w:val="0"/>
              <w:adjustRightInd w:val="0"/>
              <w:spacing w:after="0"/>
              <w:contextualSpacing/>
              <w:rPr>
                <w:rFonts w:ascii="Source Sans Pro" w:hAnsi="Source Sans Pro" w:cs="Arial-BoldItalicMT"/>
                <w:b/>
                <w:sz w:val="22"/>
                <w:lang w:val="fr-BE"/>
              </w:rPr>
            </w:pPr>
            <w:r w:rsidRPr="00343584">
              <w:rPr>
                <w:rFonts w:ascii="Source Sans Pro" w:hAnsi="Source Sans Pro" w:cs="Arial-BoldItalicMT"/>
                <w:b/>
                <w:sz w:val="22"/>
                <w:lang w:val="fr-BE"/>
              </w:rPr>
              <w:t>CONSIDÉRANT QUE :</w:t>
            </w:r>
          </w:p>
          <w:p w14:paraId="1C6FD13D"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4C9183A0" w14:textId="77777777" w:rsidTr="003474FC">
        <w:tc>
          <w:tcPr>
            <w:tcW w:w="4838" w:type="dxa"/>
          </w:tcPr>
          <w:p w14:paraId="1903C7B3"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F55EB0">
              <w:rPr>
                <w:rFonts w:ascii="Source Sans Pro" w:hAnsi="Source Sans Pro" w:cs="Arial-BoldItalicMT"/>
                <w:sz w:val="22"/>
                <w:lang w:val="nl-BE"/>
              </w:rPr>
              <w:lastRenderedPageBreak/>
              <w:t xml:space="preserve">a) op basis van de </w:t>
            </w:r>
            <w:proofErr w:type="spellStart"/>
            <w:r w:rsidRPr="00F55EB0">
              <w:rPr>
                <w:rFonts w:ascii="Source Sans Pro" w:hAnsi="Source Sans Pro" w:cs="Arial-BoldItalicMT"/>
                <w:sz w:val="22"/>
                <w:lang w:val="nl-BE"/>
              </w:rPr>
              <w:t>socialezekerheidsverordening</w:t>
            </w:r>
            <w:proofErr w:type="spellEnd"/>
            <w:r w:rsidRPr="00F55EB0">
              <w:rPr>
                <w:rFonts w:ascii="Source Sans Pro" w:hAnsi="Source Sans Pro" w:cs="Arial-BoldItalicMT"/>
                <w:sz w:val="22"/>
                <w:lang w:val="nl-BE"/>
              </w:rPr>
              <w:t xml:space="preserve"> (883/2004) thuiswerken is toegestaan tot 25 % van de arbeidstijd, zonder consequenties voor de sociale zekerheid, waarbij vervolgens de toepassingsverordening (987/2009) voor de sociale zekerheid een aantal interpretatie- en toepassingsvraagstukken regelt, maar dat een vergelijkbare regeling niet geldt voor de fiscale behandeling van grensarbeid in de Benelux-landen;   </w:t>
            </w:r>
          </w:p>
          <w:p w14:paraId="0FC9B548"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463E27B6"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a) en vertu du règlement de sécurité sociale (883/2004), le travail à domicile est autorisé jusqu'à 25 % du temps de travail, sans conséquences pour la sécurité sociale, le règlement d'application de la sécurité sociale (987/2009) réglant ensuite un certain nombre de questions d'interprétation et d'application, mais qu'une disposition similaire ne s'applique pas au traitement fiscal du travail frontalier dans les pays du Benelux ;   </w:t>
            </w:r>
          </w:p>
          <w:p w14:paraId="483C4E38"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4CBDC1BF" w14:textId="77777777" w:rsidTr="003474FC">
        <w:tc>
          <w:tcPr>
            <w:tcW w:w="4838" w:type="dxa"/>
          </w:tcPr>
          <w:p w14:paraId="31E985F9"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NL"/>
              </w:rPr>
            </w:pPr>
            <w:r w:rsidRPr="00F55EB0">
              <w:rPr>
                <w:rFonts w:ascii="Source Sans Pro" w:hAnsi="Source Sans Pro" w:cs="Arial-BoldItalicMT"/>
                <w:sz w:val="22"/>
                <w:lang w:val="nl-NL"/>
              </w:rPr>
              <w:t>b) tijdens de Covid-pandemie de regeringen tijdelijke fiscale (bilaterale) regelingen tot stand brachten</w:t>
            </w:r>
            <w:r>
              <w:rPr>
                <w:rFonts w:ascii="Source Sans Pro" w:hAnsi="Source Sans Pro" w:cs="Arial-BoldItalicMT"/>
                <w:sz w:val="22"/>
                <w:lang w:val="nl-NL"/>
              </w:rPr>
              <w:t>,</w:t>
            </w:r>
            <w:r w:rsidRPr="00F55EB0">
              <w:rPr>
                <w:rFonts w:ascii="Source Sans Pro" w:hAnsi="Source Sans Pro" w:cs="Arial-BoldItalicMT"/>
                <w:sz w:val="22"/>
                <w:lang w:val="nl-NL"/>
              </w:rPr>
              <w:t xml:space="preserve">  waardoor thuiswerken over de grens in bepaalde mate mogelijk was </w:t>
            </w:r>
            <w:r>
              <w:rPr>
                <w:rFonts w:ascii="Source Sans Pro" w:hAnsi="Source Sans Pro" w:cs="Arial-BoldItalicMT"/>
                <w:sz w:val="22"/>
                <w:lang w:val="nl-NL"/>
              </w:rPr>
              <w:t>“</w:t>
            </w:r>
            <w:r w:rsidRPr="00F55EB0">
              <w:rPr>
                <w:rFonts w:ascii="Source Sans Pro" w:hAnsi="Source Sans Pro" w:cs="Arial-BoldItalicMT"/>
                <w:sz w:val="22"/>
                <w:lang w:val="nl-NL"/>
              </w:rPr>
              <w:t>zonder consequenties voor de belastingheffing</w:t>
            </w:r>
            <w:r>
              <w:rPr>
                <w:rFonts w:ascii="Source Sans Pro" w:hAnsi="Source Sans Pro" w:cs="Arial-BoldItalicMT"/>
                <w:sz w:val="22"/>
                <w:lang w:val="nl-NL"/>
              </w:rPr>
              <w:t>”</w:t>
            </w:r>
            <w:r w:rsidRPr="00F55EB0">
              <w:rPr>
                <w:rFonts w:ascii="Source Sans Pro" w:hAnsi="Source Sans Pro" w:cs="Arial-BoldItalicMT"/>
                <w:sz w:val="22"/>
                <w:lang w:val="nl-NL"/>
              </w:rPr>
              <w:t>;</w:t>
            </w:r>
          </w:p>
          <w:p w14:paraId="58F1EBD0"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7662442A"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b) pendant la pandémie de grippe aviaire, les gouvernements ont mis en place des dispositions fiscales temporaires (bilatérales) qui ont permis le travail à domicile transfrontalier dans une certaine mesure « sans conséquences fiscales » ;</w:t>
            </w:r>
          </w:p>
          <w:p w14:paraId="53F08226"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3949989A" w14:textId="77777777" w:rsidTr="003474FC">
        <w:tc>
          <w:tcPr>
            <w:tcW w:w="4838" w:type="dxa"/>
          </w:tcPr>
          <w:p w14:paraId="53EDE328"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F55EB0">
              <w:rPr>
                <w:rFonts w:ascii="Source Sans Pro" w:hAnsi="Source Sans Pro" w:cs="Arial-BoldItalicMT"/>
                <w:sz w:val="22"/>
                <w:lang w:val="nl-BE"/>
              </w:rPr>
              <w:t>c) de tijdens de Covid-pandemie geldende tijdelijke fiscale tegemoetkomingen niet langer gelden;</w:t>
            </w:r>
          </w:p>
          <w:p w14:paraId="37691533"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7CB1FE6A"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c) les avantages fiscaux temporaires en vigueur pendant la pandémie du Covid ne sont plus d’application ; </w:t>
            </w:r>
          </w:p>
          <w:p w14:paraId="555F04D7"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4507EFD4" w14:textId="77777777" w:rsidTr="003474FC">
        <w:tc>
          <w:tcPr>
            <w:tcW w:w="4838" w:type="dxa"/>
          </w:tcPr>
          <w:p w14:paraId="5DA4A7B5"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F55EB0">
              <w:rPr>
                <w:rFonts w:ascii="Source Sans Pro" w:hAnsi="Source Sans Pro" w:cs="Arial-BoldItalicMT"/>
                <w:sz w:val="22"/>
                <w:lang w:val="nl-BE"/>
              </w:rPr>
              <w:t>d) thuiswerken een hoge vlucht heeft genomen en flexibiliteit in werkregelingen van vitaal belang is gebleken voor zowel werkgevers als werknemers, met name in de grensregio’s;</w:t>
            </w:r>
          </w:p>
          <w:p w14:paraId="1C034172"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593A86B4"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d) le travail à domicile a connu un essor considérable et que la flexibilité des modalités de travail s'est avérée vitale pour les employeurs comme pour les salariés, notamment dans les régions frontalières ; </w:t>
            </w:r>
          </w:p>
          <w:p w14:paraId="43F2648B"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38FF38F9" w14:textId="77777777" w:rsidTr="003474FC">
        <w:tc>
          <w:tcPr>
            <w:tcW w:w="4838" w:type="dxa"/>
          </w:tcPr>
          <w:p w14:paraId="06A03D2D" w14:textId="77777777" w:rsidR="005E26B1" w:rsidRPr="008D25BC" w:rsidRDefault="005E26B1" w:rsidP="005E26B1">
            <w:pPr>
              <w:autoSpaceDE w:val="0"/>
              <w:autoSpaceDN w:val="0"/>
              <w:adjustRightInd w:val="0"/>
              <w:spacing w:after="0"/>
              <w:contextualSpacing/>
              <w:rPr>
                <w:rFonts w:ascii="Source Sans Pro" w:hAnsi="Source Sans Pro" w:cs="Arial-BoldItalicMT"/>
                <w:sz w:val="22"/>
                <w:lang w:val="nl-BE"/>
              </w:rPr>
            </w:pPr>
            <w:r w:rsidRPr="008D25BC">
              <w:rPr>
                <w:rFonts w:ascii="Source Sans Pro" w:hAnsi="Source Sans Pro" w:cs="Arial-BoldItalicMT"/>
                <w:sz w:val="22"/>
                <w:lang w:val="nl-BE"/>
              </w:rPr>
              <w:t>e) de Kaderovereenkomst inzake grensoverschrijdend telewerk het mogelijk maakt om een verzoek in te dienen om de socialezekerheidswetgeving van de lidstaat van de zetel of vestigingsplaats van de werkgever op een werknemer toe te passen indien de woonstaat van deze werknemer een andere is dan de staat van de zetel of vestigingsplaats van de betrokken werkgever en het grensoverschrijdende telewerk in de woonstaat minder dan 50 % van de totale arbeidstijd bedraagt;</w:t>
            </w:r>
          </w:p>
          <w:p w14:paraId="7BDD3D7B"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4DC35692"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e) l'Accord-cadre sur le télétravail transfrontalier permet de demander l'application de la législation de sécurité sociale de l'État membre du siège social ou du lieu d'établissement de l'employeur à un travailleur si l'État de résidence de ce dernier est différent de l'État du siège social ou du lieu d'établissement de l'employeur concerné et que le télétravail transfrontalier dans l'État de résidence représente moins de 50 % du temps de travail total ;</w:t>
            </w:r>
          </w:p>
          <w:p w14:paraId="718C9363"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18D4FB2E" w14:textId="77777777" w:rsidTr="003474FC">
        <w:tc>
          <w:tcPr>
            <w:tcW w:w="4838" w:type="dxa"/>
          </w:tcPr>
          <w:p w14:paraId="45AD12AE"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B44341">
              <w:rPr>
                <w:rFonts w:ascii="Source Sans Pro" w:hAnsi="Source Sans Pro" w:cs="Arial-BoldItalicMT"/>
                <w:sz w:val="22"/>
                <w:lang w:val="nl-BE"/>
              </w:rPr>
              <w:t xml:space="preserve">f) </w:t>
            </w:r>
            <w:r w:rsidRPr="00F55EB0">
              <w:rPr>
                <w:rFonts w:ascii="Source Sans Pro" w:hAnsi="Source Sans Pro" w:cs="ArialMT"/>
                <w:sz w:val="22"/>
                <w:lang w:val="nl-BE"/>
              </w:rPr>
              <w:t xml:space="preserve">er in de relaties </w:t>
            </w:r>
            <w:r w:rsidRPr="00F55EB0">
              <w:rPr>
                <w:rFonts w:ascii="Source Sans Pro" w:hAnsi="Source Sans Pro"/>
                <w:sz w:val="22"/>
                <w:lang w:val="nl-BE"/>
              </w:rPr>
              <w:t>Duitsland-België, Duitsland-Nederland en België-Nederland</w:t>
            </w:r>
            <w:r w:rsidRPr="00F55EB0">
              <w:rPr>
                <w:rFonts w:ascii="Source Sans Pro" w:hAnsi="Source Sans Pro" w:cs="ArialMT"/>
                <w:sz w:val="22"/>
                <w:lang w:val="nl-BE"/>
              </w:rPr>
              <w:t xml:space="preserve"> drie jaar na de coronacrisis nog steeds geen fiscale regeling bestaat inzake het grensoverschrijdend thuiswerken</w:t>
            </w:r>
            <w:r w:rsidRPr="00F55EB0">
              <w:rPr>
                <w:rFonts w:ascii="Source Sans Pro" w:hAnsi="Source Sans Pro" w:cs="Arial-BoldItalicMT"/>
                <w:sz w:val="22"/>
                <w:lang w:val="nl-BE"/>
              </w:rPr>
              <w:t>, hoewel de onderhandelingen in de relatie Nederland-Duitsland ver gevorderd zijn in de richting van een 34 dagen-drempelregeling;</w:t>
            </w:r>
          </w:p>
          <w:p w14:paraId="6D0B62E3"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2295E63D"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f) trois ans après la crise du Covid, il n’existe toujours pas, dans le cadre des relations entre l’Allemagne et la Belgique, l’Allemagne et les Pays-Bas et la Belgique et les Pays-Bas, de réglementation fiscale sur le travail à domicile transfrontalier, même si les négociations dans les relations entre les Pays-Bas et l’Allemagne ont bien progressé dans le sens de la fixation d’un nombre limite de 34 jours ; </w:t>
            </w:r>
          </w:p>
          <w:p w14:paraId="68DD9CCB"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26630E6A" w14:textId="77777777" w:rsidTr="003474FC">
        <w:tc>
          <w:tcPr>
            <w:tcW w:w="4838" w:type="dxa"/>
          </w:tcPr>
          <w:p w14:paraId="371FBEBC"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B44341">
              <w:rPr>
                <w:rFonts w:ascii="Source Sans Pro" w:hAnsi="Source Sans Pro" w:cs="Arial-BoldItalicMT"/>
                <w:sz w:val="22"/>
                <w:lang w:val="nl-BE"/>
              </w:rPr>
              <w:t>g</w:t>
            </w:r>
            <w:r w:rsidRPr="00F55EB0">
              <w:rPr>
                <w:rFonts w:ascii="Source Sans Pro" w:hAnsi="Source Sans Pro" w:cs="Arial-BoldItalicMT"/>
                <w:sz w:val="22"/>
                <w:lang w:val="nl-BE"/>
              </w:rPr>
              <w:t>) Luxemburg in de afgesloten bilaterale belastingverdragen met zijn buurlanden reeds voorziet in een 34 dagen-drempelregeling</w:t>
            </w:r>
            <w:r w:rsidRPr="00B44341">
              <w:rPr>
                <w:rFonts w:ascii="Source Sans Pro" w:hAnsi="Source Sans Pro" w:cs="Arial-BoldItalicMT"/>
                <w:sz w:val="22"/>
                <w:lang w:val="nl-BE"/>
              </w:rPr>
              <w:t xml:space="preserve">, terwijl </w:t>
            </w:r>
            <w:r w:rsidRPr="00B44341">
              <w:rPr>
                <w:rFonts w:ascii="Source Sans Pro" w:hAnsi="Source Sans Pro" w:cs="Arial-BoldItalicMT"/>
                <w:sz w:val="22"/>
                <w:lang w:val="nl-BE"/>
              </w:rPr>
              <w:lastRenderedPageBreak/>
              <w:t>onder het belastingverdrag Frankrijk-Zwitserland 40 % van de jaarlijkse werktijd in de woonstaat kan worden gewerkt zonder dat dit gevolgen heeft voor de belastingheffing</w:t>
            </w:r>
            <w:r w:rsidRPr="00F55EB0">
              <w:rPr>
                <w:rFonts w:ascii="Source Sans Pro" w:hAnsi="Source Sans Pro" w:cs="Arial-BoldItalicMT"/>
                <w:sz w:val="22"/>
                <w:lang w:val="nl-BE"/>
              </w:rPr>
              <w:t>;</w:t>
            </w:r>
          </w:p>
          <w:p w14:paraId="58128A59"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2C9F9C56"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lastRenderedPageBreak/>
              <w:t xml:space="preserve">g) les conventions fiscales bilatérales conclues par le Luxembourg avec ses pays voisins prévoient déjà un régime de seuil de 34 jours, tandis qu'en </w:t>
            </w:r>
            <w:r w:rsidRPr="00343584">
              <w:rPr>
                <w:rFonts w:ascii="Source Sans Pro" w:hAnsi="Source Sans Pro" w:cs="Arial-BoldItalicMT"/>
                <w:sz w:val="22"/>
                <w:lang w:val="fr-BE"/>
              </w:rPr>
              <w:lastRenderedPageBreak/>
              <w:t xml:space="preserve">vertu de la convention fiscale entre la France et la Suisse, 40 % du temps de travail annuel peut être effectué dans l’État de résidence sans aucune incidence fiscale ; </w:t>
            </w:r>
          </w:p>
          <w:p w14:paraId="5A5267C0"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34F46071" w14:textId="77777777" w:rsidTr="003474FC">
        <w:tc>
          <w:tcPr>
            <w:tcW w:w="4838" w:type="dxa"/>
          </w:tcPr>
          <w:p w14:paraId="24499392"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Pr>
                <w:rFonts w:ascii="Source Sans Pro" w:hAnsi="Source Sans Pro" w:cs="Arial-BoldItalicMT"/>
                <w:sz w:val="22"/>
                <w:lang w:val="nl-BE"/>
              </w:rPr>
              <w:lastRenderedPageBreak/>
              <w:t xml:space="preserve">h) </w:t>
            </w:r>
            <w:r w:rsidRPr="00F55EB0">
              <w:rPr>
                <w:rFonts w:ascii="Source Sans Pro" w:hAnsi="Source Sans Pro" w:cs="Arial-BoldItalicMT"/>
                <w:sz w:val="22"/>
                <w:lang w:val="nl-BE"/>
              </w:rPr>
              <w:t>de</w:t>
            </w:r>
            <w:r w:rsidRPr="00CB3A80">
              <w:rPr>
                <w:rFonts w:ascii="Source Sans Pro" w:hAnsi="Source Sans Pro" w:cs="Arial-BoldItalicMT"/>
                <w:sz w:val="22"/>
                <w:lang w:val="nl-BE"/>
              </w:rPr>
              <w:t xml:space="preserve"> (Europese) </w:t>
            </w:r>
            <w:r w:rsidRPr="00F55EB0">
              <w:rPr>
                <w:rFonts w:ascii="Source Sans Pro" w:hAnsi="Source Sans Pro" w:cs="Arial-BoldItalicMT"/>
                <w:sz w:val="22"/>
                <w:lang w:val="nl-BE"/>
              </w:rPr>
              <w:t>Kaderovereenkomst een oplossing biedt voor het grensoverschrijdend telewerk op het punt van de sociale zekerheid, mits het grensoverschrijdende telewerk in de woonstaat minder dan 50 % van de arbeidstijd uitmaakt, zij het dat in de praktijk nog enkele vragen lijken te bestaan over de interpretatie en toepassing van deze Kaderovereenkomst;</w:t>
            </w:r>
          </w:p>
          <w:p w14:paraId="3724330D"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15929730"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h) l'Accord-cadre (européen) résout le problème du télétravail transfrontalier en termes de sécurité sociale à condition que le télétravail transfrontalier dans l'État de résidence représente moins de 50 % du temps de travail, même si, dans la pratique, certaines questions semblent subsister au sujet de l'interprétation et de la mise en œuvre de cet Accord-cadre ;</w:t>
            </w:r>
          </w:p>
          <w:p w14:paraId="02C75AD5"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1585CF24" w14:textId="77777777" w:rsidTr="003474FC">
        <w:tc>
          <w:tcPr>
            <w:tcW w:w="4838" w:type="dxa"/>
          </w:tcPr>
          <w:p w14:paraId="5AAAB46F"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FE34E6">
              <w:rPr>
                <w:rFonts w:ascii="Source Sans Pro" w:hAnsi="Source Sans Pro" w:cs="Arial-BoldItalicMT"/>
                <w:sz w:val="22"/>
                <w:lang w:val="nl-BE"/>
              </w:rPr>
              <w:t xml:space="preserve">i) </w:t>
            </w:r>
            <w:r w:rsidRPr="00F55EB0">
              <w:rPr>
                <w:rFonts w:ascii="Source Sans Pro" w:hAnsi="Source Sans Pro" w:cs="ArialMT"/>
                <w:sz w:val="22"/>
                <w:lang w:val="nl-BE"/>
              </w:rPr>
              <w:t xml:space="preserve">er niet alleen inkomenseffecten zijn (bijvoorbeeld </w:t>
            </w:r>
            <w:proofErr w:type="spellStart"/>
            <w:r w:rsidRPr="00F55EB0">
              <w:rPr>
                <w:rFonts w:ascii="Source Sans Pro" w:hAnsi="Source Sans Pro" w:cs="ArialMT"/>
                <w:i/>
                <w:iCs/>
                <w:sz w:val="22"/>
                <w:lang w:val="nl-BE"/>
              </w:rPr>
              <w:t>salary</w:t>
            </w:r>
            <w:proofErr w:type="spellEnd"/>
            <w:r w:rsidRPr="00F55EB0">
              <w:rPr>
                <w:rFonts w:ascii="Source Sans Pro" w:hAnsi="Source Sans Pro" w:cs="ArialMT"/>
                <w:i/>
                <w:iCs/>
                <w:sz w:val="22"/>
                <w:lang w:val="nl-BE"/>
              </w:rPr>
              <w:t xml:space="preserve"> split</w:t>
            </w:r>
            <w:r w:rsidRPr="00F55EB0">
              <w:rPr>
                <w:rFonts w:ascii="Source Sans Pro" w:hAnsi="Source Sans Pro" w:cs="ArialMT"/>
                <w:iCs/>
                <w:sz w:val="22"/>
                <w:lang w:val="nl-BE"/>
              </w:rPr>
              <w:t>)</w:t>
            </w:r>
            <w:r w:rsidRPr="00F55EB0">
              <w:rPr>
                <w:rFonts w:ascii="Source Sans Pro" w:hAnsi="Source Sans Pro" w:cs="ArialMT"/>
                <w:sz w:val="22"/>
                <w:lang w:val="nl-BE"/>
              </w:rPr>
              <w:t>, maar dat ook administratieve lastenverzwaring</w:t>
            </w:r>
            <w:r>
              <w:rPr>
                <w:rFonts w:ascii="Source Sans Pro" w:hAnsi="Source Sans Pro" w:cs="ArialMT"/>
                <w:sz w:val="22"/>
                <w:lang w:val="nl-BE"/>
              </w:rPr>
              <w:t>,</w:t>
            </w:r>
            <w:r w:rsidRPr="00F55EB0">
              <w:rPr>
                <w:rFonts w:ascii="Source Sans Pro" w:hAnsi="Source Sans Pro" w:cs="ArialMT"/>
                <w:sz w:val="22"/>
                <w:lang w:val="nl-BE"/>
              </w:rPr>
              <w:t xml:space="preserve"> zoals het aanleveren van onredelijke bewijslast, verlies van fiscale faciliteiten, loskoppeling van de bovenwettelijke sociale zekerheid en een gebrek aan coördinatie van de belasting- en premieheffing mogelijke gevolgen zijn;</w:t>
            </w:r>
          </w:p>
          <w:p w14:paraId="23BA003E"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3C0B5DFC"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i) il n'y a pas que des effets sur les revenus (par exemple, le </w:t>
            </w:r>
            <w:proofErr w:type="spellStart"/>
            <w:r w:rsidRPr="00343584">
              <w:rPr>
                <w:rFonts w:ascii="Source Sans Pro" w:hAnsi="Source Sans Pro" w:cs="Arial-BoldItalicMT"/>
                <w:sz w:val="22"/>
                <w:lang w:val="fr-BE"/>
              </w:rPr>
              <w:t>salary</w:t>
            </w:r>
            <w:proofErr w:type="spellEnd"/>
            <w:r w:rsidRPr="00343584">
              <w:rPr>
                <w:rFonts w:ascii="Source Sans Pro" w:hAnsi="Source Sans Pro" w:cs="Arial-BoldItalicMT"/>
                <w:sz w:val="22"/>
                <w:lang w:val="fr-BE"/>
              </w:rPr>
              <w:t xml:space="preserve"> split) mais aussi de possibles conséquences, comme un accroissement des charges administratives telles qu'une charge de la preuve déraisonnable,  la perte de facilités fiscales, le découplage de la sécurité sociale extra-légale et le manque de coordination au niveau du prélèvement de l’impôt et des primes ;</w:t>
            </w:r>
          </w:p>
          <w:p w14:paraId="31A802F2"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1459FA6A" w14:textId="77777777" w:rsidTr="003474FC">
        <w:tc>
          <w:tcPr>
            <w:tcW w:w="4838" w:type="dxa"/>
          </w:tcPr>
          <w:p w14:paraId="3DA2152F"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FE34E6">
              <w:rPr>
                <w:rFonts w:ascii="Source Sans Pro" w:hAnsi="Source Sans Pro" w:cs="Arial-BoldItalicMT"/>
                <w:sz w:val="22"/>
                <w:lang w:val="nl-BE"/>
              </w:rPr>
              <w:t xml:space="preserve">j) </w:t>
            </w:r>
            <w:r w:rsidRPr="00F55EB0">
              <w:rPr>
                <w:rFonts w:ascii="Source Sans Pro" w:hAnsi="Source Sans Pro" w:cs="ArialMT"/>
                <w:sz w:val="22"/>
                <w:lang w:val="nl-BE"/>
              </w:rPr>
              <w:t>thuisarbeid voor grensarbeiders en hun werkgevers</w:t>
            </w:r>
            <w:r w:rsidRPr="00FE34E6">
              <w:rPr>
                <w:rFonts w:ascii="Source Sans Pro" w:hAnsi="Source Sans Pro" w:cs="Arial-BoldItalicMT"/>
                <w:sz w:val="22"/>
                <w:lang w:val="nl-BE"/>
              </w:rPr>
              <w:t xml:space="preserve"> – </w:t>
            </w:r>
            <w:r w:rsidRPr="00F55EB0">
              <w:rPr>
                <w:rFonts w:ascii="Source Sans Pro" w:hAnsi="Source Sans Pro" w:cs="ArialMT"/>
                <w:sz w:val="22"/>
                <w:lang w:val="nl-BE"/>
              </w:rPr>
              <w:t>zonder wijzigingen van de huidige fiscale regels</w:t>
            </w:r>
            <w:r w:rsidRPr="00FE34E6">
              <w:rPr>
                <w:rFonts w:ascii="Source Sans Pro" w:hAnsi="Source Sans Pro" w:cs="Arial-BoldItalicMT"/>
                <w:sz w:val="22"/>
                <w:lang w:val="nl-BE"/>
              </w:rPr>
              <w:t xml:space="preserve"> – </w:t>
            </w:r>
            <w:r w:rsidRPr="00F55EB0">
              <w:rPr>
                <w:rFonts w:ascii="Source Sans Pro" w:hAnsi="Source Sans Pro" w:cs="ArialMT"/>
                <w:sz w:val="22"/>
                <w:lang w:val="nl-BE"/>
              </w:rPr>
              <w:t>meer rechtsonzekerheid en complexiteit impliceert voor zowel werknemers als werkgevers, wat schadelijk kan zijn voor het functioneren van een grensoverschrijdende arbeidsmarkt;</w:t>
            </w:r>
          </w:p>
          <w:p w14:paraId="09F47B35"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09808FA1"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j) le travail à domicile – sans modifications des règles fiscales actuelles – implique davantage d’insécurité juridique et une complexité accrue pour les salariés et les employeurs, ce qui peut être dommageable pour le fonctionnement d'un marché du travail transfrontalier ;</w:t>
            </w:r>
          </w:p>
          <w:p w14:paraId="032743A0"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393C5E71" w14:textId="77777777" w:rsidTr="003474FC">
        <w:tc>
          <w:tcPr>
            <w:tcW w:w="4838" w:type="dxa"/>
          </w:tcPr>
          <w:p w14:paraId="226F03FC"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FE34E6">
              <w:rPr>
                <w:rFonts w:ascii="Source Sans Pro" w:hAnsi="Source Sans Pro" w:cs="Arial-BoldItalicMT"/>
                <w:sz w:val="22"/>
                <w:lang w:val="nl-BE"/>
              </w:rPr>
              <w:t>k</w:t>
            </w:r>
            <w:r w:rsidRPr="00F55EB0">
              <w:rPr>
                <w:rFonts w:ascii="Source Sans Pro" w:hAnsi="Source Sans Pro" w:cs="Arial-BoldItalicMT"/>
                <w:sz w:val="22"/>
                <w:lang w:val="nl-BE"/>
              </w:rPr>
              <w:t>) de administratieve lasten en onzekerheid omtrent (het uitblijven van) een fiscale thuiswerkregeling bedrijven kunnen aanzetten tot het verplaatsen van bedrijfsactiviteiten naar het buitenland of tot wijzigingen in het personeelsbeleid;</w:t>
            </w:r>
          </w:p>
          <w:p w14:paraId="5099BE94"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7CB422FF"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k) les charges administratives et l'incertitude entourant (l'absence d’) un régime fiscal pour le travail à domicile peuvent conduire à une délocalisation à l’étranger des activités des entreprises ou à une modification de la politique du personnel ;</w:t>
            </w:r>
          </w:p>
          <w:p w14:paraId="353123EF"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00207E72" w14:textId="77777777" w:rsidTr="003474FC">
        <w:tc>
          <w:tcPr>
            <w:tcW w:w="4838" w:type="dxa"/>
          </w:tcPr>
          <w:p w14:paraId="6471EAB1" w14:textId="77777777" w:rsidR="005E26B1" w:rsidRPr="00F55EB0" w:rsidRDefault="005E26B1" w:rsidP="005E26B1">
            <w:pPr>
              <w:spacing w:after="0"/>
              <w:rPr>
                <w:rFonts w:ascii="Source Sans Pro" w:hAnsi="Source Sans Pro" w:cs="Calibri"/>
                <w:sz w:val="22"/>
                <w:lang w:val="nl-BE"/>
              </w:rPr>
            </w:pPr>
            <w:r w:rsidRPr="00FE34E6">
              <w:rPr>
                <w:rFonts w:ascii="Source Sans Pro" w:hAnsi="Source Sans Pro" w:cs="Arial-BoldItalicMT"/>
                <w:sz w:val="22"/>
                <w:lang w:val="nl-BE"/>
              </w:rPr>
              <w:t xml:space="preserve">l) </w:t>
            </w:r>
            <w:r w:rsidRPr="00F55EB0">
              <w:rPr>
                <w:rFonts w:ascii="Source Sans Pro" w:hAnsi="Source Sans Pro"/>
                <w:sz w:val="22"/>
                <w:lang w:val="nl-BE"/>
              </w:rPr>
              <w:t xml:space="preserve">de verdragsluitende partijen </w:t>
            </w:r>
            <w:r w:rsidRPr="00F55EB0">
              <w:rPr>
                <w:rFonts w:ascii="Source Sans Pro" w:hAnsi="Source Sans Pro" w:cs="ArialMT"/>
                <w:sz w:val="22"/>
                <w:lang w:val="nl-BE"/>
              </w:rPr>
              <w:t xml:space="preserve">binnen de </w:t>
            </w:r>
            <w:r w:rsidRPr="00F55EB0">
              <w:rPr>
                <w:rFonts w:ascii="Source Sans Pro" w:hAnsi="Source Sans Pro"/>
                <w:sz w:val="22"/>
                <w:lang w:val="nl-BE"/>
              </w:rPr>
              <w:t>Benelux Unie – als proeftuin van de interne EU-markt – zich inspannen om de economische unie verder te ontwikkelen, met inbegrip van de noodzakelijke coördinatie van onder meer sociaal beleid en het faciliteren en ontwikkelen van een barrièrevrije interne (</w:t>
            </w:r>
            <w:proofErr w:type="spellStart"/>
            <w:r w:rsidRPr="00F55EB0">
              <w:rPr>
                <w:rFonts w:ascii="Source Sans Pro" w:hAnsi="Source Sans Pro"/>
                <w:sz w:val="22"/>
                <w:lang w:val="nl-BE"/>
              </w:rPr>
              <w:t>arbeids</w:t>
            </w:r>
            <w:proofErr w:type="spellEnd"/>
            <w:r w:rsidRPr="00F55EB0">
              <w:rPr>
                <w:rFonts w:ascii="Source Sans Pro" w:hAnsi="Source Sans Pro"/>
                <w:sz w:val="22"/>
                <w:lang w:val="nl-BE"/>
              </w:rPr>
              <w:t>)markt, waarbij de thuiswerkproblematiek kan worden gezien als een belemmering voor de interne arbeidsmarkt en de economische unie van de Benelux Unie;</w:t>
            </w:r>
          </w:p>
          <w:p w14:paraId="647BAAFA"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61985C20"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l) les parties contractantes au sein de l'Union Benelux - en tant que laboratoire du marché intérieur de l'UE - s'emploient à poursuivre le développement de l'union économique, en ce compris la nécessaire coordination, entre autres, de la politique sociale et de la facilitation et du développement d'un marché (du travail) intérieur sans barrières où la question du travail à domicile peut être considérée comme une entrave au marché du travail intérieur et à l'union économique de l'Union Benelux ;</w:t>
            </w:r>
          </w:p>
          <w:p w14:paraId="775B2ED4"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77E4FF06" w14:textId="77777777" w:rsidTr="003474FC">
        <w:tc>
          <w:tcPr>
            <w:tcW w:w="4838" w:type="dxa"/>
          </w:tcPr>
          <w:p w14:paraId="7126E457" w14:textId="77777777" w:rsidR="005E26B1" w:rsidRPr="00F55EB0" w:rsidRDefault="005E26B1" w:rsidP="005E26B1">
            <w:pPr>
              <w:spacing w:after="0"/>
              <w:rPr>
                <w:rFonts w:ascii="Source Sans Pro" w:hAnsi="Source Sans Pro" w:cs="Calibri"/>
                <w:b/>
                <w:sz w:val="22"/>
                <w:lang w:val="nl-NL"/>
              </w:rPr>
            </w:pPr>
            <w:r w:rsidRPr="00F55EB0">
              <w:rPr>
                <w:rFonts w:ascii="Source Sans Pro" w:hAnsi="Source Sans Pro" w:cs="Calibri"/>
                <w:b/>
                <w:sz w:val="22"/>
                <w:lang w:val="nl-NL"/>
              </w:rPr>
              <w:t xml:space="preserve">VERZOEKT DE REGERINGEN OM: </w:t>
            </w:r>
          </w:p>
          <w:p w14:paraId="1A4D0276" w14:textId="77777777" w:rsidR="005E26B1" w:rsidRPr="005E26B1" w:rsidRDefault="005E26B1" w:rsidP="00E34523">
            <w:pPr>
              <w:pStyle w:val="NoSpacing"/>
              <w:jc w:val="center"/>
              <w:rPr>
                <w:rFonts w:ascii="Source Sans Pro" w:hAnsi="Source Sans Pro" w:cs="Calibri"/>
                <w:b/>
                <w:sz w:val="22"/>
                <w:lang w:val="fr-FR"/>
              </w:rPr>
            </w:pPr>
          </w:p>
        </w:tc>
        <w:tc>
          <w:tcPr>
            <w:tcW w:w="4799" w:type="dxa"/>
          </w:tcPr>
          <w:p w14:paraId="268B04EF" w14:textId="77777777" w:rsidR="005E26B1" w:rsidRPr="00343584" w:rsidRDefault="005E26B1" w:rsidP="005E26B1">
            <w:pPr>
              <w:autoSpaceDE w:val="0"/>
              <w:autoSpaceDN w:val="0"/>
              <w:adjustRightInd w:val="0"/>
              <w:spacing w:after="0"/>
              <w:contextualSpacing/>
              <w:rPr>
                <w:rFonts w:ascii="Source Sans Pro" w:hAnsi="Source Sans Pro" w:cs="Arial-BoldItalicMT"/>
                <w:b/>
                <w:sz w:val="22"/>
                <w:lang w:val="fr-BE"/>
              </w:rPr>
            </w:pPr>
            <w:r w:rsidRPr="00343584">
              <w:rPr>
                <w:rFonts w:ascii="Source Sans Pro" w:hAnsi="Source Sans Pro" w:cs="Arial-BoldItalicMT"/>
                <w:b/>
                <w:sz w:val="22"/>
                <w:lang w:val="fr-BE"/>
              </w:rPr>
              <w:t>DEMANDE AUX GOUVERNEMENTS :</w:t>
            </w:r>
          </w:p>
          <w:p w14:paraId="176424D0"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04843B3E" w14:textId="77777777" w:rsidTr="003474FC">
        <w:tc>
          <w:tcPr>
            <w:tcW w:w="4838" w:type="dxa"/>
          </w:tcPr>
          <w:p w14:paraId="57C0A930" w14:textId="77777777" w:rsidR="005E26B1" w:rsidRPr="00F55EB0" w:rsidRDefault="005E26B1" w:rsidP="005E26B1">
            <w:pPr>
              <w:autoSpaceDE w:val="0"/>
              <w:autoSpaceDN w:val="0"/>
              <w:adjustRightInd w:val="0"/>
              <w:spacing w:after="0"/>
              <w:rPr>
                <w:rFonts w:ascii="Source Sans Pro" w:hAnsi="Source Sans Pro" w:cs="Arial-BoldItalicMT"/>
                <w:sz w:val="22"/>
                <w:lang w:val="nl-BE"/>
              </w:rPr>
            </w:pPr>
            <w:r w:rsidRPr="00F55EB0">
              <w:rPr>
                <w:rFonts w:ascii="Source Sans Pro" w:hAnsi="Source Sans Pro" w:cs="Arial-BoldItalicMT"/>
                <w:sz w:val="22"/>
                <w:lang w:val="nl-BE"/>
              </w:rPr>
              <w:lastRenderedPageBreak/>
              <w:t>1. de troeven en struikelblokken die samenhangen met telewerk te bestuderen en te evalueren, meer bepaald voor grensoverschrijdend werken in de Benelux, en er besluiten uit te trekken voor het te voeren beleid, mede in lijn met de op 23 maart 2021 aangenomen aanbeveling nr. 920/2 van het Beneluxparlement met betrekking tot de verbetering  van de situatie van grenswerknemers op het vlak van mobiliteit, fiscaliteit en sociale zekerheid, in het bijzonder door  de toekenning van een specifiek statuut  aan de afstandskantoren;</w:t>
            </w:r>
          </w:p>
          <w:p w14:paraId="257FF59B"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139D6DD2"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1. d'examiner et d'évaluer les atouts et les écueils liés au télétravail, plus spécifiquement dans le cas du travail transfrontalier dans le Benelux, et d'en tirer les conséquences pour la politique à mener en s'inspirant notamment de la Recommandation n° 920/2 du Parlement Benelux, adoptée le 23 mars 2021, relative à l’amélioration de la situation des travailleurs frontaliers sur le plan de la mobilité, de la fiscalité et de la sécurité sociale, en particulier par l’octroi d’un statut spécifique aux bureaux à distance ;</w:t>
            </w:r>
          </w:p>
          <w:p w14:paraId="38FE07F6"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42C09311" w14:textId="77777777" w:rsidTr="003474FC">
        <w:tc>
          <w:tcPr>
            <w:tcW w:w="4838" w:type="dxa"/>
          </w:tcPr>
          <w:p w14:paraId="655C68F1" w14:textId="77777777" w:rsidR="005E26B1" w:rsidRPr="00F55EB0" w:rsidRDefault="005E26B1" w:rsidP="005E26B1">
            <w:pPr>
              <w:autoSpaceDE w:val="0"/>
              <w:autoSpaceDN w:val="0"/>
              <w:adjustRightInd w:val="0"/>
              <w:spacing w:after="0"/>
              <w:rPr>
                <w:rFonts w:ascii="Source Sans Pro" w:hAnsi="Source Sans Pro" w:cs="Arial-BoldItalicMT"/>
                <w:sz w:val="22"/>
                <w:lang w:val="nl-NL"/>
              </w:rPr>
            </w:pPr>
            <w:r w:rsidRPr="00F55EB0">
              <w:rPr>
                <w:rFonts w:ascii="Source Sans Pro" w:hAnsi="Source Sans Pro" w:cs="Arial-BoldItalicMT"/>
                <w:sz w:val="22"/>
                <w:lang w:val="nl-BE"/>
              </w:rPr>
              <w:t xml:space="preserve">2. </w:t>
            </w:r>
            <w:r w:rsidRPr="00F55EB0">
              <w:rPr>
                <w:rFonts w:ascii="Source Sans Pro" w:hAnsi="Source Sans Pro" w:cs="Arial-BoldItalicMT"/>
                <w:sz w:val="22"/>
                <w:lang w:val="nl-NL"/>
              </w:rPr>
              <w:t xml:space="preserve">te bevorderen dat, in die gevallen waarin de Benelux-landen sinds 1 juli 2022, de datum waarop de tijdelijke covid-regeling voor de fiscale behandeling van grensoverschrijdend telewerk is afgelopen, nog geen nadere fiscale regelingen met hun buurlanden hebben getroffen inzake grensoverschrijdend telewerk, zij de gesprekken daarover met hun buurlanden aangaan en het Beneluxparlement over de voortgang daaromtrent halfjaarlijks berichten; </w:t>
            </w:r>
          </w:p>
          <w:p w14:paraId="5C930A20"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0612E07F"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2. de promouvoir, dans les cas où les pays du Benelux n'ont pas encore conclu de nouveaux accords fiscaux avec leurs voisins sur le télétravail transfrontalier au 1er juillet 2022, date à laquelle l'accord temporaire de coopération « covid » pour le traitement fiscal du télétravail transfrontalier expire, qu’ils entament des discussions avec leurs pays voisins sur cette question et de faire rapport au Parlement Benelux sur les progrès accomplis à cet égard tous les six mois ;</w:t>
            </w:r>
          </w:p>
          <w:p w14:paraId="0FF846CB"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372BF79C" w14:textId="77777777" w:rsidTr="003474FC">
        <w:tc>
          <w:tcPr>
            <w:tcW w:w="4838" w:type="dxa"/>
          </w:tcPr>
          <w:p w14:paraId="5AF255F6" w14:textId="77777777" w:rsidR="005E26B1" w:rsidRPr="00F55EB0" w:rsidRDefault="005E26B1" w:rsidP="005E26B1">
            <w:pPr>
              <w:autoSpaceDE w:val="0"/>
              <w:autoSpaceDN w:val="0"/>
              <w:adjustRightInd w:val="0"/>
              <w:spacing w:after="0"/>
              <w:rPr>
                <w:rFonts w:ascii="Source Sans Pro" w:hAnsi="Source Sans Pro" w:cs="Arial-BoldItalicMT"/>
                <w:sz w:val="22"/>
                <w:lang w:val="nl-BE"/>
              </w:rPr>
            </w:pPr>
            <w:r w:rsidRPr="00F55EB0">
              <w:rPr>
                <w:rFonts w:ascii="Source Sans Pro" w:hAnsi="Source Sans Pro" w:cs="Arial-BoldItalicMT"/>
                <w:sz w:val="22"/>
                <w:lang w:val="nl-BE"/>
              </w:rPr>
              <w:t xml:space="preserve">3. de definities van de categorieën van personen op wie de gevraagde maatregelen van toepassing zullen zijn eenvormig te maken (definitie van “thuiswerken/telewerken”) en zoveel mogelijk te synchroniseren tussen de fiscale wetgeving en de socialezekerheidswetgeving (bijvoorbeeld langs de lijnen van </w:t>
            </w:r>
            <w:r w:rsidRPr="00F55EB0">
              <w:rPr>
                <w:rFonts w:ascii="Source Sans Pro" w:hAnsi="Source Sans Pro" w:cs="ArialMT"/>
                <w:sz w:val="22"/>
                <w:lang w:val="nl-BE"/>
              </w:rPr>
              <w:t>paragraaf 3 van het memorandum van overeenstemming van 22 december 2022 tussen Frankrijk en Zwitserland)</w:t>
            </w:r>
            <w:r w:rsidRPr="00F55EB0">
              <w:rPr>
                <w:rFonts w:ascii="Source Sans Pro" w:hAnsi="Source Sans Pro" w:cs="Arial-BoldItalicMT"/>
                <w:sz w:val="22"/>
                <w:lang w:val="nl-BE"/>
              </w:rPr>
              <w:t>;</w:t>
            </w:r>
          </w:p>
          <w:p w14:paraId="5BF9CB0C"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198BE63E"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3. d’uniformiser les définitions des catégories de personnes à qui s’appliqueront les mesures demandées (définition du « travail à domicile/ télétravail ») et de synchroniser autant que possible les législations  en matière de fiscalité et de sécurité sociale (par exemple, sur le modèle du paragraphe 3 du protocole d'accord du 22 décembre 2022 entre la France et la Suisse) ;</w:t>
            </w:r>
          </w:p>
          <w:p w14:paraId="18EF80C6"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7B6DDB55" w14:textId="77777777" w:rsidTr="003474FC">
        <w:tc>
          <w:tcPr>
            <w:tcW w:w="4838" w:type="dxa"/>
          </w:tcPr>
          <w:p w14:paraId="7E77673B" w14:textId="77777777" w:rsidR="005E26B1" w:rsidRPr="00F55EB0" w:rsidRDefault="005E26B1" w:rsidP="005E26B1">
            <w:pPr>
              <w:autoSpaceDE w:val="0"/>
              <w:autoSpaceDN w:val="0"/>
              <w:adjustRightInd w:val="0"/>
              <w:spacing w:after="0"/>
              <w:rPr>
                <w:rFonts w:ascii="Source Sans Pro" w:eastAsia="Times New Roman" w:hAnsi="Source Sans Pro" w:cs="Times New Roman"/>
                <w:sz w:val="22"/>
                <w:lang w:val="nl-BE" w:eastAsia="nl-NL"/>
              </w:rPr>
            </w:pPr>
            <w:r w:rsidRPr="00F55EB0">
              <w:rPr>
                <w:rFonts w:ascii="Source Sans Pro" w:eastAsia="Times New Roman" w:hAnsi="Source Sans Pro" w:cs="Times New Roman"/>
                <w:sz w:val="22"/>
                <w:lang w:val="nl-BE" w:eastAsia="nl-NL"/>
              </w:rPr>
              <w:t xml:space="preserve">4. een Benelux-brede en multilaterale werkgroep in het kader van de Benelux Unie in te stellen om: </w:t>
            </w:r>
          </w:p>
          <w:p w14:paraId="1745FBF3"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4CAA26FC"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4. d'établir un groupe de travail multilatéral dans le cadre de l'Union Benelux pour : </w:t>
            </w:r>
          </w:p>
          <w:p w14:paraId="72DF4BDA"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1E24021F" w14:textId="77777777" w:rsidTr="003474FC">
        <w:tc>
          <w:tcPr>
            <w:tcW w:w="4838" w:type="dxa"/>
          </w:tcPr>
          <w:p w14:paraId="20231900" w14:textId="77777777" w:rsidR="005E26B1" w:rsidRPr="00F55EB0" w:rsidRDefault="005E26B1" w:rsidP="005E26B1">
            <w:pPr>
              <w:autoSpaceDE w:val="0"/>
              <w:autoSpaceDN w:val="0"/>
              <w:adjustRightInd w:val="0"/>
              <w:spacing w:after="0"/>
              <w:rPr>
                <w:rFonts w:ascii="Source Sans Pro" w:eastAsia="Times New Roman" w:hAnsi="Source Sans Pro" w:cs="Times New Roman"/>
                <w:sz w:val="22"/>
                <w:lang w:val="nl-BE" w:eastAsia="nl-NL"/>
              </w:rPr>
            </w:pPr>
            <w:r w:rsidRPr="00F55EB0">
              <w:rPr>
                <w:rFonts w:ascii="Source Sans Pro" w:eastAsia="Times New Roman" w:hAnsi="Source Sans Pro" w:cs="Times New Roman"/>
                <w:sz w:val="22"/>
                <w:lang w:val="nl-BE" w:eastAsia="nl-NL"/>
              </w:rPr>
              <w:t xml:space="preserve">- de bestaande onduidelijkheden over de interpretatie en de toepassing van de Kaderovereenkomst op te lossen, met het oog op een vlotte toepassing van de regelgeving inzake sociale zekerheid; </w:t>
            </w:r>
          </w:p>
          <w:p w14:paraId="47279C65"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12CFB54B"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 lever les ambiguïtés existantes quant à l'interprétation et à l'application de la Convention-cadre, en vue d'assurer une application harmonieuse des réglementations de sécurité sociale ; </w:t>
            </w:r>
          </w:p>
          <w:p w14:paraId="55A7B6FE"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1D8CDF82" w14:textId="77777777" w:rsidTr="003474FC">
        <w:tc>
          <w:tcPr>
            <w:tcW w:w="4838" w:type="dxa"/>
          </w:tcPr>
          <w:p w14:paraId="517DBC7E" w14:textId="77777777" w:rsidR="005E26B1" w:rsidRPr="00F55EB0" w:rsidRDefault="005E26B1" w:rsidP="005E26B1">
            <w:pPr>
              <w:autoSpaceDE w:val="0"/>
              <w:autoSpaceDN w:val="0"/>
              <w:adjustRightInd w:val="0"/>
              <w:spacing w:after="0"/>
              <w:rPr>
                <w:rFonts w:ascii="Source Sans Pro" w:eastAsia="Times New Roman" w:hAnsi="Source Sans Pro" w:cs="Times New Roman"/>
                <w:sz w:val="22"/>
                <w:lang w:val="nl-BE" w:eastAsia="nl-NL"/>
              </w:rPr>
            </w:pPr>
            <w:r w:rsidRPr="00F55EB0">
              <w:rPr>
                <w:rFonts w:ascii="Source Sans Pro" w:eastAsia="Times New Roman" w:hAnsi="Source Sans Pro" w:cs="Times New Roman"/>
                <w:sz w:val="22"/>
                <w:lang w:val="nl-BE" w:eastAsia="nl-NL"/>
              </w:rPr>
              <w:t>- aan te sturen op het waar mogelijk synchroniseren van interpretaties van termen in het domein van belastingen, waaronder belastingverdragen, en het domein van de sociale zekerheid (zoals Verordening nr. 883/2004 en de Kaderovereenkomst), om daardoor zo veel mogelijk interpretatieverschillen tussen beide domeinen te vermijden;</w:t>
            </w:r>
          </w:p>
          <w:p w14:paraId="04CF2C21"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146778CC"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promouvoir la synchronisation, s’il est possible, d’interprétations des termes dans le domaine de la fiscalité, y compris les conventions fiscales, et dans le domaine de la sécurité sociale (tels que le règlement n° 883/2004 et l’Accord-cadre), évitant ainsi, dans la mesure du possible, les différences d'interprétation entre les deux domaines ;</w:t>
            </w:r>
          </w:p>
          <w:p w14:paraId="1ADCA404"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7C06D5C4" w14:textId="77777777" w:rsidTr="003474FC">
        <w:tc>
          <w:tcPr>
            <w:tcW w:w="4838" w:type="dxa"/>
          </w:tcPr>
          <w:p w14:paraId="4A4B25A9" w14:textId="77777777" w:rsidR="005E26B1" w:rsidRPr="00F55EB0" w:rsidRDefault="005E26B1" w:rsidP="005E26B1">
            <w:pPr>
              <w:autoSpaceDE w:val="0"/>
              <w:autoSpaceDN w:val="0"/>
              <w:adjustRightInd w:val="0"/>
              <w:spacing w:after="0"/>
              <w:rPr>
                <w:rFonts w:ascii="Source Sans Pro" w:eastAsia="Times New Roman" w:hAnsi="Source Sans Pro" w:cs="Times New Roman"/>
                <w:sz w:val="22"/>
                <w:lang w:val="nl-BE" w:eastAsia="nl-NL"/>
              </w:rPr>
            </w:pPr>
            <w:r w:rsidRPr="00F55EB0">
              <w:rPr>
                <w:rFonts w:ascii="Source Sans Pro" w:eastAsia="Times New Roman" w:hAnsi="Source Sans Pro" w:cs="Times New Roman"/>
                <w:sz w:val="22"/>
                <w:lang w:val="nl-BE" w:eastAsia="nl-NL"/>
              </w:rPr>
              <w:lastRenderedPageBreak/>
              <w:t xml:space="preserve">- in dat kader definities met betrekking tot onder meer “werkgever”, “thuiswerken/telewerken”, “(thuiswerk)dagen” - bijvoorbeeld zoals in nr. 10 van het protocol bij het belastingverdrag Duitsland-Luxemburg - nader te onderzoeken en te synchroniseren; </w:t>
            </w:r>
          </w:p>
          <w:p w14:paraId="471D16DB" w14:textId="77777777" w:rsidR="005E26B1" w:rsidRPr="005E26B1" w:rsidRDefault="005E26B1" w:rsidP="00E34523">
            <w:pPr>
              <w:pStyle w:val="NoSpacing"/>
              <w:jc w:val="center"/>
              <w:rPr>
                <w:rFonts w:ascii="Source Sans Pro" w:hAnsi="Source Sans Pro" w:cs="Calibri"/>
                <w:b/>
                <w:sz w:val="22"/>
                <w:lang w:val="nl-BE"/>
              </w:rPr>
            </w:pPr>
          </w:p>
        </w:tc>
        <w:tc>
          <w:tcPr>
            <w:tcW w:w="4799" w:type="dxa"/>
          </w:tcPr>
          <w:p w14:paraId="08ABB466"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 dans ce contexte, poursuivre l'examen et la synchronisation des définitions relatives, entre autres, à « l’employeur », au « travail à domicile/ télétravail », aux « jours (de travail à domicile) » - par exemple comme au point 10 du protocole à la convention fiscale entre l'Allemagne et le Luxembourg ; </w:t>
            </w:r>
          </w:p>
          <w:p w14:paraId="4202AF2B" w14:textId="77777777" w:rsidR="005E26B1" w:rsidRPr="005E26B1" w:rsidRDefault="005E26B1" w:rsidP="00DD3BB1">
            <w:pPr>
              <w:autoSpaceDE w:val="0"/>
              <w:autoSpaceDN w:val="0"/>
              <w:adjustRightInd w:val="0"/>
              <w:spacing w:after="0"/>
              <w:contextualSpacing/>
              <w:jc w:val="center"/>
              <w:rPr>
                <w:rFonts w:ascii="Source Sans Pro" w:hAnsi="Source Sans Pro" w:cs="Arial-BoldItalicMT"/>
                <w:b/>
                <w:sz w:val="22"/>
                <w:lang w:val="fr-FR"/>
              </w:rPr>
            </w:pPr>
          </w:p>
        </w:tc>
      </w:tr>
      <w:tr w:rsidR="005E26B1" w:rsidRPr="005E26B1" w14:paraId="4AD35AC0" w14:textId="77777777" w:rsidTr="003474FC">
        <w:tc>
          <w:tcPr>
            <w:tcW w:w="4838" w:type="dxa"/>
          </w:tcPr>
          <w:p w14:paraId="777570D6" w14:textId="77777777" w:rsidR="005E26B1" w:rsidRPr="00F55EB0" w:rsidRDefault="005E26B1" w:rsidP="005E26B1">
            <w:pPr>
              <w:spacing w:after="0"/>
              <w:rPr>
                <w:rFonts w:ascii="Source Sans Pro" w:eastAsia="Times New Roman" w:hAnsi="Source Sans Pro" w:cs="Arial-BoldItalicMT"/>
                <w:sz w:val="22"/>
                <w:lang w:val="nl-BE" w:eastAsia="nl-NL"/>
              </w:rPr>
            </w:pPr>
            <w:r w:rsidRPr="00F55EB0">
              <w:rPr>
                <w:rFonts w:ascii="Source Sans Pro" w:eastAsia="Times New Roman" w:hAnsi="Source Sans Pro" w:cs="Arial-BoldItalicMT"/>
                <w:sz w:val="22"/>
                <w:lang w:val="nl-BE" w:eastAsia="nl-NL"/>
              </w:rPr>
              <w:t>5. te onderzoeken of, met het oog op de werkgevers op grensoverschrijdende bedrijventerreinen aan de binnen- en buitengrenzen van de Benelux, een betere coördinatie tussen belastingheffing en sociale zekerheid kan worden verwezenlijkt middels een bepaling zoals opgenomen in artikel 14, lid 3, van het belastingverdrag tussen Nederland en Duitsland, en daarbij het effect van thuiswerken mee op te nemen;</w:t>
            </w:r>
          </w:p>
          <w:p w14:paraId="2F07F031" w14:textId="77777777" w:rsidR="005E26B1" w:rsidRPr="00F55EB0" w:rsidRDefault="005E26B1"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4388D6E6"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5. d'examiner si, en ce qui concerne les employeurs situés dans les zones d'activités transfrontalières aux frontières intérieures et extérieures du Benelux, une meilleure coordination entre la fiscalité et la sécurité sociale peut être réalisée par le biais d'une disposition telle que celle qui figure à  l'article 14, alinéa 3, de la convention fiscale entre les Pays-Bas et l'Allemagne, et d'y inclure les effets du travail à domicile ;</w:t>
            </w:r>
          </w:p>
          <w:p w14:paraId="5E9665FC" w14:textId="77777777" w:rsidR="005E26B1" w:rsidRPr="005E26B1" w:rsidRDefault="005E26B1" w:rsidP="005E26B1">
            <w:pPr>
              <w:autoSpaceDE w:val="0"/>
              <w:autoSpaceDN w:val="0"/>
              <w:adjustRightInd w:val="0"/>
              <w:spacing w:after="0"/>
              <w:contextualSpacing/>
              <w:rPr>
                <w:rFonts w:ascii="Source Sans Pro" w:hAnsi="Source Sans Pro" w:cs="Arial-BoldItalicMT"/>
                <w:sz w:val="22"/>
                <w:lang w:val="fr-FR"/>
              </w:rPr>
            </w:pPr>
          </w:p>
        </w:tc>
      </w:tr>
      <w:tr w:rsidR="005E26B1" w:rsidRPr="005E26B1" w14:paraId="3A90D279" w14:textId="77777777" w:rsidTr="003474FC">
        <w:tc>
          <w:tcPr>
            <w:tcW w:w="4838" w:type="dxa"/>
          </w:tcPr>
          <w:p w14:paraId="79DFBBA0"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F55EB0">
              <w:rPr>
                <w:rFonts w:ascii="Source Sans Pro" w:hAnsi="Source Sans Pro" w:cs="Arial-BoldItalicMT"/>
                <w:sz w:val="22"/>
                <w:lang w:val="nl-BE"/>
              </w:rPr>
              <w:t>6. de definities van “34 of meer dagen”, dan wel een percentage van de arbeidstijd, onder de drempelregeling eenvormig te maken, zoveel mogelijk te synchroniseren tussen de fiscale wetgeving en de socialezekerheidswetgeving en bewijsrechtelijke lasten hieromtrent voor werknemers en werkgevers zo veel mogelijk te beperken;</w:t>
            </w:r>
          </w:p>
          <w:p w14:paraId="4259B7E0" w14:textId="77777777" w:rsidR="005E26B1" w:rsidRPr="005E26B1" w:rsidRDefault="005E26B1"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34393A45"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6. d’uniformiser les définitions des « 34 jours ou plus » ou d'un pourcentage du temps de travail dans le cadre du régime en matière de seuil, d’harmoniser autant que possible les législations dans le domaine de la fiscalité et de la sécurité sociale et de limiter autant que possible à cet égard la charge relative à la preuve pour les salariés et les employeurs ;</w:t>
            </w:r>
          </w:p>
          <w:p w14:paraId="06EFDA28" w14:textId="77777777" w:rsidR="005E26B1" w:rsidRPr="005E26B1" w:rsidRDefault="005E26B1" w:rsidP="005E26B1">
            <w:pPr>
              <w:autoSpaceDE w:val="0"/>
              <w:autoSpaceDN w:val="0"/>
              <w:adjustRightInd w:val="0"/>
              <w:spacing w:after="0"/>
              <w:contextualSpacing/>
              <w:rPr>
                <w:rFonts w:ascii="Source Sans Pro" w:hAnsi="Source Sans Pro" w:cs="Arial-BoldItalicMT"/>
                <w:sz w:val="22"/>
                <w:lang w:val="fr-FR"/>
              </w:rPr>
            </w:pPr>
          </w:p>
        </w:tc>
      </w:tr>
      <w:tr w:rsidR="005E26B1" w:rsidRPr="005E26B1" w14:paraId="2CA893EF" w14:textId="77777777" w:rsidTr="003474FC">
        <w:tc>
          <w:tcPr>
            <w:tcW w:w="4838" w:type="dxa"/>
          </w:tcPr>
          <w:p w14:paraId="0202B1F7"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bookmarkStart w:id="0" w:name="_Hlk191549724"/>
            <w:r w:rsidRPr="00F55EB0">
              <w:rPr>
                <w:rFonts w:ascii="Source Sans Pro" w:hAnsi="Source Sans Pro" w:cs="Arial-BoldItalicMT"/>
                <w:sz w:val="22"/>
                <w:lang w:val="nl-BE"/>
              </w:rPr>
              <w:t xml:space="preserve">7. de mogelijkheid te bestuderen om de drempelregeling van het aantal toegelaten dagen van arbeid in de woonstaat  op korte termijn te versoepelen naar 25 % van de arbeidstijd en – als duurzame oplossing op lange termijn – te versoepelen door een verhoging tot 40 % van de arbeidstijd (wat gelijk is aan de drempelregeling die geldt tussen Frankrijk en Zwitserland); </w:t>
            </w:r>
          </w:p>
          <w:bookmarkEnd w:id="0"/>
          <w:p w14:paraId="0569FB8A" w14:textId="77777777" w:rsidR="005E26B1" w:rsidRPr="005E26B1" w:rsidRDefault="005E26B1"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079CBD7C"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7. d'examiner la possibilité d'assouplir à court terme le seuil réglementaire du nombre de jours de travail autorisés dans l'État de résidence à 25 % du temps de travail, et - en tant que solution durable à long terme - de l'assouplir en le portant à 40 % du temps de travail (ce qui équivaut au seuil réglementaire en vigueur entre la France et la Suisse) ;</w:t>
            </w:r>
          </w:p>
          <w:p w14:paraId="4DE3866B" w14:textId="77777777" w:rsidR="005E26B1" w:rsidRPr="005E26B1" w:rsidRDefault="005E26B1" w:rsidP="005E26B1">
            <w:pPr>
              <w:autoSpaceDE w:val="0"/>
              <w:autoSpaceDN w:val="0"/>
              <w:adjustRightInd w:val="0"/>
              <w:spacing w:after="0"/>
              <w:contextualSpacing/>
              <w:rPr>
                <w:rFonts w:ascii="Source Sans Pro" w:hAnsi="Source Sans Pro" w:cs="Arial-BoldItalicMT"/>
                <w:sz w:val="22"/>
                <w:lang w:val="fr-FR"/>
              </w:rPr>
            </w:pPr>
          </w:p>
        </w:tc>
      </w:tr>
      <w:tr w:rsidR="005E26B1" w:rsidRPr="005E26B1" w14:paraId="0AA65C61" w14:textId="77777777" w:rsidTr="003474FC">
        <w:tc>
          <w:tcPr>
            <w:tcW w:w="4838" w:type="dxa"/>
          </w:tcPr>
          <w:p w14:paraId="34F3785A" w14:textId="77777777" w:rsidR="005E26B1" w:rsidRPr="00F55EB0" w:rsidRDefault="005E26B1" w:rsidP="005E26B1">
            <w:pPr>
              <w:autoSpaceDE w:val="0"/>
              <w:autoSpaceDN w:val="0"/>
              <w:adjustRightInd w:val="0"/>
              <w:spacing w:after="0"/>
              <w:contextualSpacing/>
              <w:rPr>
                <w:rFonts w:ascii="Source Sans Pro" w:hAnsi="Source Sans Pro" w:cs="Arial-BoldItalicMT"/>
                <w:sz w:val="22"/>
                <w:lang w:val="nl-BE"/>
              </w:rPr>
            </w:pPr>
            <w:r w:rsidRPr="00F55EB0">
              <w:rPr>
                <w:rFonts w:ascii="Source Sans Pro" w:hAnsi="Source Sans Pro" w:cs="Arial-BoldItalicMT"/>
                <w:sz w:val="22"/>
                <w:lang w:val="nl-BE"/>
              </w:rPr>
              <w:t>8. te onderzoeken in hoeverre de gewenste maatregelen (zoals een drempel van 25 of 40 % van de arbeidstijd) kunnen worden ingevoerd per 1 januari volgend op de datum van ondertekening van de overeenkomst, onverminderd het feit dat de ratificatiestukken betreffende het wijzigingsprotocol nog niet zijn uitgewisseld tussen beide staten en ongeacht het gegeven dat de rest van het protocol of de overeenkomst in werking treedt op een datum na uitwisseling van de ratificatiestukken;</w:t>
            </w:r>
            <w:r w:rsidRPr="00F55EB0">
              <w:rPr>
                <w:rFonts w:ascii="Source Sans Pro" w:hAnsi="Source Sans Pro" w:cs="ArialMT"/>
                <w:sz w:val="22"/>
                <w:lang w:val="nl-BE"/>
              </w:rPr>
              <w:t xml:space="preserve"> een en ander </w:t>
            </w:r>
            <w:r w:rsidRPr="00F55EB0">
              <w:rPr>
                <w:rFonts w:ascii="Source Sans Pro" w:hAnsi="Source Sans Pro" w:cs="Arial-BoldItalicMT"/>
                <w:sz w:val="22"/>
                <w:lang w:val="nl-BE"/>
              </w:rPr>
              <w:t xml:space="preserve">gelet op het feit dat </w:t>
            </w:r>
            <w:r w:rsidRPr="00F55EB0">
              <w:rPr>
                <w:rFonts w:ascii="Source Sans Pro" w:hAnsi="Source Sans Pro" w:cs="ArialMT"/>
                <w:sz w:val="22"/>
                <w:lang w:val="nl-BE"/>
              </w:rPr>
              <w:t>de problematiek rond grensoverschrijdend telewerken als prangend kan worden beschouwd;</w:t>
            </w:r>
          </w:p>
          <w:p w14:paraId="7067B751" w14:textId="77777777" w:rsidR="005E26B1" w:rsidRPr="005E26B1" w:rsidRDefault="005E26B1"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294D1161" w14:textId="77777777" w:rsidR="005E26B1" w:rsidRPr="00343584" w:rsidRDefault="005E26B1" w:rsidP="005E26B1">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8. d'examiner dans quelle mesure les mesures souhaitées (telles qu'un seuil de de 25 ou 40 % du temps de travail) pourraient être introduites à partir du 1er janvier suivant la date de signature de l'accord, sans préjudice du fait que les documents de ratification relatifs au protocole de modification n'ont pas encore été échangés entre les deux États et indépendamment du fait que le reste du protocole ou de l'accord entrera en vigueur à une date postérieure à l'échange des documents de ratification, étant donné que la question du télétravail transfrontalier peut être considérée comme urgente ;</w:t>
            </w:r>
          </w:p>
          <w:p w14:paraId="55F09C3B" w14:textId="77777777" w:rsidR="005E26B1" w:rsidRPr="005E26B1" w:rsidRDefault="005E26B1" w:rsidP="005E26B1">
            <w:pPr>
              <w:autoSpaceDE w:val="0"/>
              <w:autoSpaceDN w:val="0"/>
              <w:adjustRightInd w:val="0"/>
              <w:spacing w:after="0"/>
              <w:contextualSpacing/>
              <w:rPr>
                <w:rFonts w:ascii="Source Sans Pro" w:hAnsi="Source Sans Pro" w:cs="Arial-BoldItalicMT"/>
                <w:sz w:val="22"/>
                <w:lang w:val="fr-FR"/>
              </w:rPr>
            </w:pPr>
          </w:p>
        </w:tc>
      </w:tr>
      <w:tr w:rsidR="005E26B1" w:rsidRPr="005E26B1" w14:paraId="6B380B5F" w14:textId="77777777" w:rsidTr="003474FC">
        <w:tc>
          <w:tcPr>
            <w:tcW w:w="4838" w:type="dxa"/>
          </w:tcPr>
          <w:p w14:paraId="53023D1D" w14:textId="77777777" w:rsidR="003F2CB5" w:rsidRPr="00F55EB0" w:rsidRDefault="003F2CB5" w:rsidP="003F2CB5">
            <w:pPr>
              <w:autoSpaceDE w:val="0"/>
              <w:autoSpaceDN w:val="0"/>
              <w:adjustRightInd w:val="0"/>
              <w:spacing w:after="0"/>
              <w:contextualSpacing/>
              <w:rPr>
                <w:rFonts w:ascii="Source Sans Pro" w:hAnsi="Source Sans Pro" w:cs="Arial-BoldItalicMT"/>
                <w:sz w:val="22"/>
                <w:lang w:val="nl-NL"/>
              </w:rPr>
            </w:pPr>
            <w:r w:rsidRPr="00F55EB0">
              <w:rPr>
                <w:rFonts w:ascii="Source Sans Pro" w:hAnsi="Source Sans Pro" w:cs="Arial-BoldItalicMT"/>
                <w:sz w:val="22"/>
                <w:lang w:val="nl-BE"/>
              </w:rPr>
              <w:lastRenderedPageBreak/>
              <w:t>9. voor de korte termijn de nationale regelgeving zo te bepalen dat de</w:t>
            </w:r>
            <w:r w:rsidRPr="00F55EB0">
              <w:rPr>
                <w:rFonts w:ascii="Source Sans Pro" w:hAnsi="Source Sans Pro" w:cs="ArialMT"/>
                <w:sz w:val="22"/>
                <w:lang w:val="nl-BE"/>
              </w:rPr>
              <w:t xml:space="preserve"> administratieve lasten worden verminderd en</w:t>
            </w:r>
            <w:r>
              <w:rPr>
                <w:rFonts w:ascii="Source Sans Pro" w:hAnsi="Source Sans Pro" w:cs="ArialMT"/>
                <w:sz w:val="22"/>
                <w:lang w:val="nl-BE"/>
              </w:rPr>
              <w:t xml:space="preserve"> het</w:t>
            </w:r>
            <w:r w:rsidRPr="00F55EB0">
              <w:rPr>
                <w:rFonts w:ascii="Source Sans Pro" w:hAnsi="Source Sans Pro" w:cs="ArialMT"/>
                <w:sz w:val="22"/>
                <w:lang w:val="nl-BE"/>
              </w:rPr>
              <w:t xml:space="preserve"> aanleveren van onredelijke bewijslast vermeden wordt</w:t>
            </w:r>
            <w:r>
              <w:rPr>
                <w:rFonts w:ascii="Source Sans Pro" w:hAnsi="Source Sans Pro" w:cs="ArialMT"/>
                <w:sz w:val="22"/>
                <w:lang w:val="nl-BE"/>
              </w:rPr>
              <w:t>,</w:t>
            </w:r>
            <w:r w:rsidRPr="00F55EB0">
              <w:rPr>
                <w:rFonts w:ascii="Source Sans Pro" w:hAnsi="Source Sans Pro" w:cs="ArialMT"/>
                <w:sz w:val="22"/>
                <w:lang w:val="nl-BE"/>
              </w:rPr>
              <w:t xml:space="preserve"> en </w:t>
            </w:r>
            <w:r w:rsidRPr="00F55EB0">
              <w:rPr>
                <w:rFonts w:ascii="Source Sans Pro" w:hAnsi="Source Sans Pro" w:cs="Arial-BoldItalicMT"/>
                <w:sz w:val="22"/>
                <w:lang w:val="nl-BE"/>
              </w:rPr>
              <w:t>voor de lange termijn andere oplossingsrichtingen te verkennen, zoals een “</w:t>
            </w:r>
            <w:proofErr w:type="spellStart"/>
            <w:r w:rsidRPr="00F55EB0">
              <w:rPr>
                <w:rFonts w:ascii="Source Sans Pro" w:hAnsi="Source Sans Pro" w:cs="Arial-BoldItalicMT"/>
                <w:sz w:val="22"/>
                <w:lang w:val="nl-BE"/>
              </w:rPr>
              <w:t>one</w:t>
            </w:r>
            <w:proofErr w:type="spellEnd"/>
            <w:r w:rsidRPr="00F55EB0">
              <w:rPr>
                <w:rFonts w:ascii="Source Sans Pro" w:hAnsi="Source Sans Pro" w:cs="Arial-BoldItalicMT"/>
                <w:sz w:val="22"/>
                <w:lang w:val="nl-BE"/>
              </w:rPr>
              <w:t>-stop-shop” (één-loket-systeem) in de woonstaat</w:t>
            </w:r>
            <w:r>
              <w:rPr>
                <w:rFonts w:ascii="Source Sans Pro" w:hAnsi="Source Sans Pro" w:cs="Arial-BoldItalicMT"/>
                <w:sz w:val="22"/>
                <w:lang w:val="nl-BE"/>
              </w:rPr>
              <w:t xml:space="preserve">, </w:t>
            </w:r>
            <w:r w:rsidRPr="00DD3BB1">
              <w:rPr>
                <w:rFonts w:ascii="Source Sans Pro" w:hAnsi="Source Sans Pro" w:cs="Arial-BoldItalicMT"/>
                <w:sz w:val="22"/>
                <w:lang w:val="nl-NL"/>
              </w:rPr>
              <w:t xml:space="preserve">al dan niet </w:t>
            </w:r>
            <w:r w:rsidRPr="00F55EB0">
              <w:rPr>
                <w:rFonts w:ascii="Source Sans Pro" w:hAnsi="Source Sans Pro" w:cs="Arial-BoldItalicMT"/>
                <w:sz w:val="22"/>
                <w:lang w:val="nl-BE"/>
              </w:rPr>
              <w:t>in combinatie met een macro-compensatieregeling (</w:t>
            </w:r>
            <w:r w:rsidRPr="00F55EB0">
              <w:rPr>
                <w:rFonts w:ascii="Source Sans Pro" w:hAnsi="Source Sans Pro" w:cs="Arial-BoldItalicMT"/>
                <w:sz w:val="22"/>
                <w:lang w:val="nl-NL"/>
              </w:rPr>
              <w:t xml:space="preserve">zoals </w:t>
            </w:r>
            <w:r w:rsidRPr="00DD3BB1">
              <w:rPr>
                <w:rFonts w:ascii="Source Sans Pro" w:hAnsi="Source Sans Pro" w:cs="Arial-BoldItalicMT"/>
                <w:sz w:val="22"/>
                <w:lang w:val="nl-NL"/>
              </w:rPr>
              <w:t>bijvoorbeeld</w:t>
            </w:r>
            <w:r>
              <w:rPr>
                <w:rFonts w:ascii="Source Sans Pro" w:hAnsi="Source Sans Pro" w:cs="Arial-BoldItalicMT"/>
                <w:sz w:val="22"/>
                <w:lang w:val="nl-NL"/>
              </w:rPr>
              <w:t xml:space="preserve"> </w:t>
            </w:r>
            <w:r w:rsidRPr="00F55EB0">
              <w:rPr>
                <w:rFonts w:ascii="Source Sans Pro" w:hAnsi="Source Sans Pro" w:cs="Arial-BoldItalicMT"/>
                <w:sz w:val="22"/>
                <w:lang w:val="nl-NL"/>
              </w:rPr>
              <w:t>de regeling gericht op compensatie van gemeentebelastingen in de relatie België-Luxemburg);</w:t>
            </w:r>
          </w:p>
          <w:p w14:paraId="381738E4" w14:textId="77777777" w:rsidR="005E26B1" w:rsidRPr="003F2CB5" w:rsidRDefault="005E26B1"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640FE06F" w14:textId="77777777" w:rsidR="003F2CB5" w:rsidRPr="00343584" w:rsidRDefault="003F2CB5" w:rsidP="003F2CB5">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9. à court terme, de déterminer les réglementations nationales de manière à réduire les charges administratives et à éviter une charge de la preuve déraisonnable, et, à long terme, d’examiner d'autres possibilités de solutions, telles qu'un « one stop-shop » (système de guichet unique) dans l'État de résidence en combinaison ou non avec un système de macro-compensation (tel que, par exemple, le système visant à compenser les taxes municipales dans la relation Belgique-Luxembourg) ;</w:t>
            </w:r>
          </w:p>
          <w:p w14:paraId="6DEE54CC" w14:textId="77777777" w:rsidR="005E26B1" w:rsidRPr="005E26B1" w:rsidRDefault="005E26B1" w:rsidP="005E26B1">
            <w:pPr>
              <w:autoSpaceDE w:val="0"/>
              <w:autoSpaceDN w:val="0"/>
              <w:adjustRightInd w:val="0"/>
              <w:spacing w:after="0"/>
              <w:contextualSpacing/>
              <w:rPr>
                <w:rFonts w:ascii="Source Sans Pro" w:hAnsi="Source Sans Pro" w:cs="Arial-BoldItalicMT"/>
                <w:sz w:val="22"/>
                <w:lang w:val="fr-FR"/>
              </w:rPr>
            </w:pPr>
          </w:p>
        </w:tc>
      </w:tr>
      <w:tr w:rsidR="003F2CB5" w:rsidRPr="005E26B1" w14:paraId="2D4CC8C9" w14:textId="77777777" w:rsidTr="003474FC">
        <w:tc>
          <w:tcPr>
            <w:tcW w:w="4838" w:type="dxa"/>
          </w:tcPr>
          <w:p w14:paraId="65A7D7D4" w14:textId="77777777" w:rsidR="003F2CB5" w:rsidRPr="00F55EB0" w:rsidRDefault="003F2CB5" w:rsidP="003F2CB5">
            <w:pPr>
              <w:autoSpaceDE w:val="0"/>
              <w:autoSpaceDN w:val="0"/>
              <w:adjustRightInd w:val="0"/>
              <w:spacing w:after="0"/>
              <w:contextualSpacing/>
              <w:rPr>
                <w:rFonts w:ascii="Source Sans Pro" w:hAnsi="Source Sans Pro" w:cs="Arial-BoldItalicMT"/>
                <w:sz w:val="22"/>
                <w:lang w:val="nl-BE"/>
              </w:rPr>
            </w:pPr>
            <w:r w:rsidRPr="00F55EB0">
              <w:rPr>
                <w:rFonts w:ascii="Source Sans Pro" w:hAnsi="Source Sans Pro" w:cs="Arial-BoldItalicMT"/>
                <w:sz w:val="22"/>
                <w:lang w:val="nl-BE"/>
              </w:rPr>
              <w:t>10.</w:t>
            </w:r>
            <w:r>
              <w:rPr>
                <w:rFonts w:ascii="Source Sans Pro" w:hAnsi="Source Sans Pro" w:cs="Arial-BoldItalicMT"/>
                <w:sz w:val="22"/>
                <w:lang w:val="nl-BE"/>
              </w:rPr>
              <w:t xml:space="preserve"> </w:t>
            </w:r>
            <w:r w:rsidRPr="00F55EB0">
              <w:rPr>
                <w:rFonts w:ascii="Source Sans Pro" w:hAnsi="Source Sans Pro" w:cs="Arial-BoldItalicMT"/>
                <w:sz w:val="22"/>
                <w:lang w:val="nl-BE"/>
              </w:rPr>
              <w:t xml:space="preserve">te onderzoeken in hoeverre eventuele nadelige (fiscale) gevolgen van de drempelregeling voor het netto inkomen kunnen worden gemitigeerd door eventuele “compensatieregelingen” via bilaterale afspraken </w:t>
            </w:r>
            <w:r>
              <w:rPr>
                <w:rFonts w:ascii="Source Sans Pro" w:hAnsi="Source Sans Pro" w:cs="Arial-BoldItalicMT"/>
                <w:sz w:val="22"/>
                <w:lang w:val="nl-BE"/>
              </w:rPr>
              <w:t xml:space="preserve">of </w:t>
            </w:r>
            <w:r w:rsidRPr="00F55EB0">
              <w:rPr>
                <w:rFonts w:ascii="Source Sans Pro" w:hAnsi="Source Sans Pro" w:cs="Arial-BoldItalicMT"/>
                <w:sz w:val="22"/>
                <w:lang w:val="nl-BE"/>
              </w:rPr>
              <w:t xml:space="preserve">in de belastingverdragen (bijvoorbeeld het belastingverdrag tussen Nederland en België en het belastingverdrag tussen Nederland en Duitsland); </w:t>
            </w:r>
          </w:p>
          <w:p w14:paraId="689D1EEC" w14:textId="77777777" w:rsidR="003F2CB5" w:rsidRPr="003F2CB5" w:rsidRDefault="003F2CB5"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0D342FC9" w14:textId="77777777" w:rsidR="003F2CB5" w:rsidRPr="00DD3BB1" w:rsidRDefault="003F2CB5" w:rsidP="003F2CB5">
            <w:pPr>
              <w:autoSpaceDE w:val="0"/>
              <w:autoSpaceDN w:val="0"/>
              <w:adjustRightInd w:val="0"/>
              <w:spacing w:after="0"/>
              <w:contextualSpacing/>
              <w:rPr>
                <w:rFonts w:ascii="Source Sans Pro" w:hAnsi="Source Sans Pro" w:cs="Arial-BoldItalicMT"/>
                <w:sz w:val="22"/>
                <w:lang w:val="fr-BE"/>
              </w:rPr>
            </w:pPr>
            <w:r w:rsidRPr="00DD3BB1">
              <w:rPr>
                <w:rFonts w:ascii="Source Sans Pro" w:hAnsi="Source Sans Pro" w:cs="Arial-BoldItalicMT"/>
                <w:sz w:val="22"/>
                <w:lang w:val="fr-BE"/>
              </w:rPr>
              <w:t xml:space="preserve">10. d’examiner dans quelle mesure les effets (fiscaux) désavantageux du régime de seuil sur le revenu net peuvent être atténués par d'éventuels « régimes de compensation » par le biais d’accords bilatéraux ou dans les conventions fiscales (par exemple, la convention fiscale entre les Pays-Bas et la Belgique et la convention fiscale entre les Pays-Bas et l'Allemagne) ; </w:t>
            </w:r>
          </w:p>
          <w:p w14:paraId="6EB83EC4" w14:textId="77777777" w:rsidR="003F2CB5" w:rsidRPr="005E26B1" w:rsidRDefault="003F2CB5" w:rsidP="005E26B1">
            <w:pPr>
              <w:autoSpaceDE w:val="0"/>
              <w:autoSpaceDN w:val="0"/>
              <w:adjustRightInd w:val="0"/>
              <w:spacing w:after="0"/>
              <w:contextualSpacing/>
              <w:rPr>
                <w:rFonts w:ascii="Source Sans Pro" w:hAnsi="Source Sans Pro" w:cs="Arial-BoldItalicMT"/>
                <w:sz w:val="22"/>
                <w:lang w:val="fr-FR"/>
              </w:rPr>
            </w:pPr>
          </w:p>
        </w:tc>
      </w:tr>
      <w:tr w:rsidR="003F2CB5" w:rsidRPr="005E26B1" w14:paraId="0368DEB5" w14:textId="77777777" w:rsidTr="003474FC">
        <w:tc>
          <w:tcPr>
            <w:tcW w:w="4838" w:type="dxa"/>
          </w:tcPr>
          <w:p w14:paraId="4CD9AF60" w14:textId="77777777" w:rsidR="003F2CB5" w:rsidRPr="00F55EB0" w:rsidRDefault="003F2CB5" w:rsidP="003F2CB5">
            <w:pPr>
              <w:autoSpaceDE w:val="0"/>
              <w:autoSpaceDN w:val="0"/>
              <w:adjustRightInd w:val="0"/>
              <w:spacing w:after="0"/>
              <w:contextualSpacing/>
              <w:rPr>
                <w:rFonts w:ascii="Source Sans Pro" w:hAnsi="Source Sans Pro"/>
                <w:sz w:val="22"/>
                <w:lang w:val="nl-BE"/>
              </w:rPr>
            </w:pPr>
            <w:r w:rsidRPr="00F55EB0">
              <w:rPr>
                <w:rFonts w:ascii="Source Sans Pro" w:hAnsi="Source Sans Pro" w:cs="ArialMT"/>
                <w:sz w:val="22"/>
                <w:lang w:val="nl-BE"/>
              </w:rPr>
              <w:t>11. aan te sturen op een uniform beleid tussen de staten ten aanzien van de “(fiscale) vaste inrichting” van de t</w:t>
            </w:r>
            <w:r w:rsidRPr="00F55EB0">
              <w:rPr>
                <w:rFonts w:ascii="Source Sans Pro" w:hAnsi="Source Sans Pro"/>
                <w:sz w:val="22"/>
                <w:lang w:val="nl-BE"/>
              </w:rPr>
              <w:t xml:space="preserve">huiswerker, gericht op het zo veel mogelijk voorkomen van het ontstaan van een dergelijke vaste inrichting voor de werkgever in het buitenland (bijvoorbeeld langs de lijnen van de </w:t>
            </w:r>
            <w:r w:rsidRPr="00F55EB0">
              <w:rPr>
                <w:rFonts w:ascii="Source Sans Pro" w:hAnsi="Source Sans Pro" w:cstheme="minorHAnsi"/>
                <w:sz w:val="22"/>
                <w:lang w:val="nl-BE"/>
              </w:rPr>
              <w:t>Overeenkomst tussen de bevoegde autoriteiten van Nederland en België over de interpretatie van artikel 5 van het belastingverdrag (vaste inrichting) bij thuiswerkende werknemers (</w:t>
            </w:r>
            <w:r w:rsidRPr="00F55EB0">
              <w:rPr>
                <w:rFonts w:ascii="Source Sans Pro" w:hAnsi="Source Sans Pro" w:cstheme="minorHAnsi"/>
                <w:i/>
                <w:sz w:val="22"/>
                <w:lang w:val="nl-BE"/>
              </w:rPr>
              <w:t>S</w:t>
            </w:r>
            <w:r w:rsidRPr="00F55EB0">
              <w:rPr>
                <w:rFonts w:ascii="Source Sans Pro" w:hAnsi="Source Sans Pro" w:cstheme="minorHAnsi"/>
                <w:i/>
                <w:sz w:val="22"/>
                <w:shd w:val="clear" w:color="auto" w:fill="FFFFFF"/>
                <w:lang w:val="nl-BE"/>
              </w:rPr>
              <w:t>taatscourant, 8 december 2023, 33856</w:t>
            </w:r>
            <w:r w:rsidRPr="00F55EB0">
              <w:rPr>
                <w:rFonts w:ascii="Source Sans Pro" w:hAnsi="Source Sans Pro" w:cstheme="minorHAnsi"/>
                <w:sz w:val="22"/>
                <w:shd w:val="clear" w:color="auto" w:fill="FFFFFF"/>
                <w:lang w:val="nl-BE"/>
              </w:rPr>
              <w:t xml:space="preserve"> en </w:t>
            </w:r>
            <w:r w:rsidRPr="00F55EB0">
              <w:rPr>
                <w:rFonts w:ascii="Source Sans Pro" w:hAnsi="Source Sans Pro" w:cstheme="minorHAnsi"/>
                <w:i/>
                <w:sz w:val="22"/>
                <w:shd w:val="clear" w:color="auto" w:fill="FFFFFF"/>
                <w:lang w:val="nl-BE"/>
              </w:rPr>
              <w:t>Belgisch Staatsblad, 12 december 2023, 117345</w:t>
            </w:r>
            <w:r w:rsidRPr="00F55EB0">
              <w:rPr>
                <w:rFonts w:ascii="Source Sans Pro" w:hAnsi="Source Sans Pro" w:cstheme="minorHAnsi"/>
                <w:sz w:val="22"/>
                <w:shd w:val="clear" w:color="auto" w:fill="FFFFFF"/>
                <w:lang w:val="nl-BE"/>
              </w:rPr>
              <w:t>)</w:t>
            </w:r>
            <w:r w:rsidRPr="00F55EB0">
              <w:rPr>
                <w:rFonts w:ascii="Source Sans Pro" w:hAnsi="Source Sans Pro"/>
                <w:sz w:val="22"/>
                <w:lang w:val="nl-BE"/>
              </w:rPr>
              <w:t xml:space="preserve">; </w:t>
            </w:r>
          </w:p>
          <w:p w14:paraId="4CAD7053" w14:textId="77777777" w:rsidR="003F2CB5" w:rsidRPr="003F2CB5" w:rsidRDefault="003F2CB5"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562F4605" w14:textId="3D8E1ED2" w:rsidR="003F2CB5" w:rsidRPr="00343584" w:rsidRDefault="003F2CB5" w:rsidP="003F2CB5">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11. de préconiser une politique uniforme entre les États concernant «l'établissement stable (fiscal)» du travailleur à domicile, dans le but de prévenir, autant que possible, l’existence d'un tel établissement stable pour l'employeur à l'étranger (par exemple, sur le modèle de l’Accord entre les autorités compétentes des Pays-Bas et de la Belgique </w:t>
            </w:r>
            <w:proofErr w:type="spellStart"/>
            <w:r w:rsidRPr="00343584">
              <w:rPr>
                <w:rFonts w:ascii="Source Sans Pro" w:hAnsi="Source Sans Pro" w:cs="Arial-BoldItalicMT"/>
                <w:sz w:val="22"/>
                <w:lang w:val="fr-BE"/>
              </w:rPr>
              <w:t>rélatif</w:t>
            </w:r>
            <w:proofErr w:type="spellEnd"/>
            <w:r w:rsidRPr="00343584">
              <w:rPr>
                <w:rFonts w:ascii="Source Sans Pro" w:hAnsi="Source Sans Pro" w:cs="Arial-BoldItalicMT"/>
                <w:sz w:val="22"/>
                <w:lang w:val="fr-BE"/>
              </w:rPr>
              <w:t xml:space="preserve"> à l'interprétation de l'article 5 de la convention fiscale (établissement stable) dans le cas de salariés travaillant à domicile (</w:t>
            </w:r>
            <w:proofErr w:type="spellStart"/>
            <w:r w:rsidRPr="00343584">
              <w:rPr>
                <w:rFonts w:ascii="Source Sans Pro" w:hAnsi="Source Sans Pro" w:cs="Arial-BoldItalicMT"/>
                <w:sz w:val="22"/>
                <w:lang w:val="fr-BE"/>
              </w:rPr>
              <w:t>Staatscourant</w:t>
            </w:r>
            <w:proofErr w:type="spellEnd"/>
            <w:r w:rsidRPr="00343584">
              <w:rPr>
                <w:rFonts w:ascii="Source Sans Pro" w:hAnsi="Source Sans Pro" w:cs="Arial-BoldItalicMT"/>
                <w:sz w:val="22"/>
                <w:lang w:val="fr-BE"/>
              </w:rPr>
              <w:t>, 8 décembre 2023, 33856 et Moniteur belge, 12 décembre 2023, 117345) ;</w:t>
            </w:r>
          </w:p>
          <w:p w14:paraId="34BAF57F" w14:textId="77777777" w:rsidR="003F2CB5" w:rsidRPr="005E26B1" w:rsidRDefault="003F2CB5" w:rsidP="005E26B1">
            <w:pPr>
              <w:autoSpaceDE w:val="0"/>
              <w:autoSpaceDN w:val="0"/>
              <w:adjustRightInd w:val="0"/>
              <w:spacing w:after="0"/>
              <w:contextualSpacing/>
              <w:rPr>
                <w:rFonts w:ascii="Source Sans Pro" w:hAnsi="Source Sans Pro" w:cs="Arial-BoldItalicMT"/>
                <w:sz w:val="22"/>
                <w:lang w:val="fr-FR"/>
              </w:rPr>
            </w:pPr>
          </w:p>
        </w:tc>
      </w:tr>
      <w:tr w:rsidR="003F2CB5" w:rsidRPr="005E26B1" w14:paraId="63114D58" w14:textId="77777777" w:rsidTr="003474FC">
        <w:tc>
          <w:tcPr>
            <w:tcW w:w="4838" w:type="dxa"/>
          </w:tcPr>
          <w:p w14:paraId="486B4B89" w14:textId="77777777" w:rsidR="003F2CB5" w:rsidRPr="00F55EB0" w:rsidRDefault="003F2CB5" w:rsidP="003F2CB5">
            <w:pPr>
              <w:autoSpaceDE w:val="0"/>
              <w:autoSpaceDN w:val="0"/>
              <w:adjustRightInd w:val="0"/>
              <w:spacing w:after="0"/>
              <w:contextualSpacing/>
              <w:rPr>
                <w:rFonts w:ascii="Source Sans Pro" w:hAnsi="Source Sans Pro"/>
                <w:sz w:val="22"/>
                <w:lang w:val="nl-BE"/>
              </w:rPr>
            </w:pPr>
            <w:r w:rsidRPr="00F55EB0">
              <w:rPr>
                <w:rFonts w:ascii="Source Sans Pro" w:hAnsi="Source Sans Pro"/>
                <w:sz w:val="22"/>
                <w:lang w:val="nl-BE"/>
              </w:rPr>
              <w:t xml:space="preserve">12. te onderzoeken in hoeverre het mogelijk is de kwestie van het bestaan van een dergelijke vaste inrichting van de thuiswerker unilateraal dan wel bilateraal kan worden benaderd; </w:t>
            </w:r>
          </w:p>
          <w:p w14:paraId="2AFFBF15" w14:textId="77777777" w:rsidR="003F2CB5" w:rsidRPr="003F2CB5" w:rsidRDefault="003F2CB5"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76E60419" w14:textId="77777777" w:rsidR="003F2CB5" w:rsidRPr="00343584" w:rsidRDefault="003F2CB5" w:rsidP="003F2CB5">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12. d'examiner la possibilité d’appréhender de manière unilatérale ou bilatérale la question de l’existence d’un établissement stable du travailleur à domicile ; </w:t>
            </w:r>
          </w:p>
          <w:p w14:paraId="30525EF3" w14:textId="77777777" w:rsidR="003F2CB5" w:rsidRPr="005E26B1" w:rsidRDefault="003F2CB5" w:rsidP="005E26B1">
            <w:pPr>
              <w:autoSpaceDE w:val="0"/>
              <w:autoSpaceDN w:val="0"/>
              <w:adjustRightInd w:val="0"/>
              <w:spacing w:after="0"/>
              <w:contextualSpacing/>
              <w:rPr>
                <w:rFonts w:ascii="Source Sans Pro" w:hAnsi="Source Sans Pro" w:cs="Arial-BoldItalicMT"/>
                <w:sz w:val="22"/>
                <w:lang w:val="fr-FR"/>
              </w:rPr>
            </w:pPr>
          </w:p>
        </w:tc>
      </w:tr>
      <w:tr w:rsidR="003F2CB5" w:rsidRPr="005E26B1" w14:paraId="0BA09232" w14:textId="77777777" w:rsidTr="003474FC">
        <w:tc>
          <w:tcPr>
            <w:tcW w:w="4838" w:type="dxa"/>
          </w:tcPr>
          <w:p w14:paraId="46CCE966" w14:textId="77777777" w:rsidR="003F2CB5" w:rsidRPr="00F55EB0" w:rsidRDefault="003F2CB5" w:rsidP="003F2CB5">
            <w:pPr>
              <w:autoSpaceDE w:val="0"/>
              <w:autoSpaceDN w:val="0"/>
              <w:adjustRightInd w:val="0"/>
              <w:spacing w:after="0"/>
              <w:contextualSpacing/>
              <w:rPr>
                <w:rFonts w:ascii="Source Sans Pro" w:hAnsi="Source Sans Pro"/>
                <w:sz w:val="22"/>
                <w:lang w:val="nl-BE"/>
              </w:rPr>
            </w:pPr>
            <w:r w:rsidRPr="00F55EB0">
              <w:rPr>
                <w:rFonts w:ascii="Source Sans Pro" w:hAnsi="Source Sans Pro"/>
                <w:sz w:val="22"/>
                <w:lang w:val="nl-BE"/>
              </w:rPr>
              <w:t xml:space="preserve">13. aan te sturen op het zo veel mogelijk eenvormig maken van de definitie van de vaste inrichting van de </w:t>
            </w:r>
            <w:r w:rsidRPr="00F55EB0">
              <w:rPr>
                <w:rFonts w:ascii="Source Sans Pro" w:hAnsi="Source Sans Pro" w:cs="ArialMT"/>
                <w:sz w:val="22"/>
                <w:lang w:val="nl-BE"/>
              </w:rPr>
              <w:t>t</w:t>
            </w:r>
            <w:r w:rsidRPr="00F55EB0">
              <w:rPr>
                <w:rFonts w:ascii="Source Sans Pro" w:hAnsi="Source Sans Pro"/>
                <w:sz w:val="22"/>
                <w:lang w:val="nl-BE"/>
              </w:rPr>
              <w:t xml:space="preserve">huiswerker voor de toepassing van de belastingverdragen en de nationale fiscale wetgeving; </w:t>
            </w:r>
          </w:p>
          <w:p w14:paraId="180E5B25" w14:textId="77777777" w:rsidR="003F2CB5" w:rsidRPr="003F2CB5" w:rsidRDefault="003F2CB5"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68900228" w14:textId="77777777" w:rsidR="003F2CB5" w:rsidRPr="00343584" w:rsidRDefault="003F2CB5" w:rsidP="003F2CB5">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13. de préconiser l’uniformisation de la définition de l'établissement stable du travailleur à domicile pour l’application des conventions fiscales et de la législation fiscale nationale ; </w:t>
            </w:r>
          </w:p>
          <w:p w14:paraId="79CB69A3" w14:textId="77777777" w:rsidR="003F2CB5" w:rsidRPr="005E26B1" w:rsidRDefault="003F2CB5" w:rsidP="005E26B1">
            <w:pPr>
              <w:autoSpaceDE w:val="0"/>
              <w:autoSpaceDN w:val="0"/>
              <w:adjustRightInd w:val="0"/>
              <w:spacing w:after="0"/>
              <w:contextualSpacing/>
              <w:rPr>
                <w:rFonts w:ascii="Source Sans Pro" w:hAnsi="Source Sans Pro" w:cs="Arial-BoldItalicMT"/>
                <w:sz w:val="22"/>
                <w:lang w:val="fr-FR"/>
              </w:rPr>
            </w:pPr>
          </w:p>
        </w:tc>
      </w:tr>
      <w:tr w:rsidR="003F2CB5" w:rsidRPr="003F2CB5" w14:paraId="2834BCE9" w14:textId="77777777" w:rsidTr="003474FC">
        <w:tc>
          <w:tcPr>
            <w:tcW w:w="4838" w:type="dxa"/>
          </w:tcPr>
          <w:p w14:paraId="31F6E181" w14:textId="77777777" w:rsidR="003F2CB5" w:rsidRPr="00F55EB0" w:rsidRDefault="003F2CB5" w:rsidP="003F2CB5">
            <w:pPr>
              <w:autoSpaceDE w:val="0"/>
              <w:autoSpaceDN w:val="0"/>
              <w:adjustRightInd w:val="0"/>
              <w:spacing w:after="0"/>
              <w:contextualSpacing/>
              <w:rPr>
                <w:rFonts w:ascii="Source Sans Pro" w:hAnsi="Source Sans Pro" w:cs="ArialMT"/>
                <w:sz w:val="22"/>
                <w:lang w:val="nl-BE"/>
              </w:rPr>
            </w:pPr>
            <w:r w:rsidRPr="00F55EB0">
              <w:rPr>
                <w:rFonts w:ascii="Source Sans Pro" w:hAnsi="Source Sans Pro"/>
                <w:sz w:val="22"/>
                <w:lang w:val="nl-BE"/>
              </w:rPr>
              <w:t xml:space="preserve">14. te onderzoeken in hoeverre de bovenstaande maatregelen met betrekking tot de fiscale gevolgen van grensoverschrijdend telewerken kunnen samengaan met een evaluatie- of synchronisatiebepaling (langs de lijnen van de herzieningsbepaling in het belastingverdrag tussen Frankrijk en Luxemburg), die </w:t>
            </w:r>
            <w:r w:rsidRPr="00F55EB0">
              <w:rPr>
                <w:rFonts w:ascii="Source Sans Pro" w:hAnsi="Source Sans Pro" w:cs="ArialMT"/>
                <w:sz w:val="22"/>
                <w:lang w:val="nl-BE"/>
              </w:rPr>
              <w:t>de Benelux-</w:t>
            </w:r>
            <w:r w:rsidRPr="00F55EB0">
              <w:rPr>
                <w:rFonts w:ascii="Source Sans Pro" w:hAnsi="Source Sans Pro" w:cs="ArialMT"/>
                <w:sz w:val="22"/>
                <w:lang w:val="nl-BE"/>
              </w:rPr>
              <w:lastRenderedPageBreak/>
              <w:t>landen ertoe verplicht om voor het einde van een specifiek te bepalen kalenderjaar (bijvoorbeeld binnen twee jaar) bijeen te komen om te onderzoeken of de situatie een wijziging vereist vanaf 1 januari van het daarop volgende kalenderjaar en of een verdere aanpassing van het regelgevend kader nodig is;</w:t>
            </w:r>
          </w:p>
          <w:p w14:paraId="6A7DEA60" w14:textId="77777777" w:rsidR="003F2CB5" w:rsidRPr="003F2CB5" w:rsidRDefault="003F2CB5"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59DED72F" w14:textId="77777777" w:rsidR="003F2CB5" w:rsidRPr="00343584" w:rsidRDefault="003F2CB5" w:rsidP="003F2CB5">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lastRenderedPageBreak/>
              <w:t xml:space="preserve">14. d’examiner si les mesures susmentionnées relatives aux conséquences fiscales du télétravail transfrontalier peuvent s’accompagner d’une clause de révision ou de synchronisation (sur le modèle de la clause de révision ou de synchronisation de la convention fiscale franco-luxembourgeoise) contraignant les pays du </w:t>
            </w:r>
            <w:r w:rsidRPr="00343584">
              <w:rPr>
                <w:rFonts w:ascii="Source Sans Pro" w:hAnsi="Source Sans Pro" w:cs="Arial-BoldItalicMT"/>
                <w:sz w:val="22"/>
                <w:lang w:val="fr-BE"/>
              </w:rPr>
              <w:lastRenderedPageBreak/>
              <w:t xml:space="preserve">Benelux à se réunir avant la fin d'une année civile à déterminer spécifiquement (par exemple dans les deux ans) pour examiner si la situation requiert  un changement à partir du 1er janvier de l'année civile suivante et s’il y a lieu de procéder à un nouvel aménagement  du cadre réglementaire ; </w:t>
            </w:r>
          </w:p>
          <w:p w14:paraId="7B9542E8" w14:textId="77777777" w:rsidR="003F2CB5" w:rsidRPr="003F2CB5" w:rsidRDefault="003F2CB5" w:rsidP="005E26B1">
            <w:pPr>
              <w:autoSpaceDE w:val="0"/>
              <w:autoSpaceDN w:val="0"/>
              <w:adjustRightInd w:val="0"/>
              <w:spacing w:after="0"/>
              <w:contextualSpacing/>
              <w:rPr>
                <w:rFonts w:ascii="Source Sans Pro" w:hAnsi="Source Sans Pro" w:cs="Arial-BoldItalicMT"/>
                <w:sz w:val="22"/>
                <w:lang w:val="fr-FR"/>
              </w:rPr>
            </w:pPr>
          </w:p>
        </w:tc>
      </w:tr>
      <w:tr w:rsidR="003F2CB5" w:rsidRPr="003F2CB5" w14:paraId="1DCCA293" w14:textId="77777777" w:rsidTr="003474FC">
        <w:tc>
          <w:tcPr>
            <w:tcW w:w="4838" w:type="dxa"/>
          </w:tcPr>
          <w:p w14:paraId="097F931E" w14:textId="77777777" w:rsidR="003F2CB5" w:rsidRDefault="003F2CB5" w:rsidP="003F2CB5">
            <w:pPr>
              <w:autoSpaceDE w:val="0"/>
              <w:autoSpaceDN w:val="0"/>
              <w:adjustRightInd w:val="0"/>
              <w:spacing w:after="0"/>
              <w:contextualSpacing/>
              <w:rPr>
                <w:rFonts w:ascii="Source Sans Pro" w:hAnsi="Source Sans Pro" w:cs="Arial-BoldItalicMT"/>
                <w:sz w:val="22"/>
                <w:lang w:val="nl-BE"/>
              </w:rPr>
            </w:pPr>
            <w:r w:rsidRPr="00F55EB0">
              <w:rPr>
                <w:rFonts w:ascii="Source Sans Pro" w:hAnsi="Source Sans Pro" w:cs="Arial-BoldItalicMT"/>
                <w:sz w:val="22"/>
                <w:lang w:val="nl-BE"/>
              </w:rPr>
              <w:lastRenderedPageBreak/>
              <w:t xml:space="preserve">15. te onderzoeken of, met het oog op sectoren in de grensregio’s waarvoor telewerken geen grote rol speelt voor werknemers en werkgevers, fiscale grensobstakels zo veel mogelijk kunnen worden vermeden langs de lijnen van de grensgangerregeling, neergelegd in het belastingverdrag tussen Duitsland en Oostenrijk, en te onderzoeken welke kilometergrens (bijvoorbeeld 30 kilometer aan beide zijden van de grens) werkbaar is in het kader van de afbakening van de term “grensregio”. </w:t>
            </w:r>
          </w:p>
          <w:p w14:paraId="4E54D9E9" w14:textId="77777777" w:rsidR="003F2CB5" w:rsidRPr="003F2CB5" w:rsidRDefault="003F2CB5"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76D8697D" w14:textId="77777777" w:rsidR="003F2CB5" w:rsidRDefault="003F2CB5" w:rsidP="003F2CB5">
            <w:pPr>
              <w:autoSpaceDE w:val="0"/>
              <w:autoSpaceDN w:val="0"/>
              <w:adjustRightInd w:val="0"/>
              <w:spacing w:after="0"/>
              <w:contextualSpacing/>
              <w:rPr>
                <w:rFonts w:ascii="Source Sans Pro" w:hAnsi="Source Sans Pro" w:cs="Arial-BoldItalicMT"/>
                <w:sz w:val="22"/>
                <w:lang w:val="fr-BE"/>
              </w:rPr>
            </w:pPr>
            <w:r w:rsidRPr="00343584">
              <w:rPr>
                <w:rFonts w:ascii="Source Sans Pro" w:hAnsi="Source Sans Pro" w:cs="Arial-BoldItalicMT"/>
                <w:sz w:val="22"/>
                <w:lang w:val="fr-BE"/>
              </w:rPr>
              <w:t xml:space="preserve">15. d’examiner si, en ce qui concerne les secteurs dans les régions frontalières dans lesquels le télétravail ne joue pas de rôle important pour les salariés et les employeurs, les obstacles fiscaux aux frontières peuvent être évités autant que possible, en s'inspirant de la réglementation relative à la circulation frontalière inscrite dans la convention fiscale entre l'Allemagne et l'Autriche, et d’examiner quelle limite kilométrique (par exemple 30 kilomètres des deux côtés de la frontière) pourrait être fixée dans le cadre de la définition de la notion de « région frontalière ». </w:t>
            </w:r>
          </w:p>
          <w:p w14:paraId="28389584" w14:textId="77777777" w:rsidR="003F2CB5" w:rsidRPr="003F2CB5" w:rsidRDefault="003F2CB5" w:rsidP="005E26B1">
            <w:pPr>
              <w:autoSpaceDE w:val="0"/>
              <w:autoSpaceDN w:val="0"/>
              <w:adjustRightInd w:val="0"/>
              <w:spacing w:after="0"/>
              <w:contextualSpacing/>
              <w:rPr>
                <w:rFonts w:ascii="Source Sans Pro" w:hAnsi="Source Sans Pro" w:cs="Arial-BoldItalicMT"/>
                <w:sz w:val="22"/>
                <w:lang w:val="fr-FR"/>
              </w:rPr>
            </w:pPr>
          </w:p>
        </w:tc>
      </w:tr>
      <w:tr w:rsidR="003F2CB5" w:rsidRPr="003F2CB5" w14:paraId="5AC97DBA" w14:textId="77777777" w:rsidTr="003474FC">
        <w:tc>
          <w:tcPr>
            <w:tcW w:w="4838" w:type="dxa"/>
          </w:tcPr>
          <w:p w14:paraId="3DADC2DF" w14:textId="77777777" w:rsidR="003F2CB5" w:rsidRPr="00DD7CDB" w:rsidRDefault="003F2CB5" w:rsidP="003F2CB5">
            <w:pPr>
              <w:autoSpaceDE w:val="0"/>
              <w:autoSpaceDN w:val="0"/>
              <w:adjustRightInd w:val="0"/>
              <w:spacing w:after="0"/>
              <w:contextualSpacing/>
              <w:rPr>
                <w:rFonts w:ascii="Source Sans Pro" w:hAnsi="Source Sans Pro" w:cs="Arial-BoldItalicMT"/>
                <w:b/>
                <w:sz w:val="22"/>
                <w:lang w:val="nl-BE"/>
              </w:rPr>
            </w:pPr>
            <w:r w:rsidRPr="00DD7CDB">
              <w:rPr>
                <w:rFonts w:ascii="Source Sans Pro" w:hAnsi="Source Sans Pro" w:cs="Arial-BoldItalicMT"/>
                <w:b/>
                <w:sz w:val="22"/>
                <w:lang w:val="nl-BE"/>
              </w:rPr>
              <w:t>Het verklarend rapport bij de aanbeveling maakt integraal deel uit van de aanbeveling.</w:t>
            </w:r>
          </w:p>
          <w:p w14:paraId="3F555875" w14:textId="77777777" w:rsidR="003F2CB5" w:rsidRPr="003F2CB5" w:rsidRDefault="003F2CB5" w:rsidP="005E26B1">
            <w:pPr>
              <w:autoSpaceDE w:val="0"/>
              <w:autoSpaceDN w:val="0"/>
              <w:adjustRightInd w:val="0"/>
              <w:spacing w:after="0"/>
              <w:rPr>
                <w:rFonts w:ascii="Source Sans Pro" w:eastAsia="Times New Roman" w:hAnsi="Source Sans Pro" w:cs="Times New Roman"/>
                <w:sz w:val="22"/>
                <w:lang w:val="nl-BE" w:eastAsia="nl-NL"/>
              </w:rPr>
            </w:pPr>
          </w:p>
        </w:tc>
        <w:tc>
          <w:tcPr>
            <w:tcW w:w="4799" w:type="dxa"/>
          </w:tcPr>
          <w:p w14:paraId="5B3301F8" w14:textId="77777777" w:rsidR="003F2CB5" w:rsidRPr="00DD7CDB" w:rsidRDefault="003F2CB5" w:rsidP="003F2CB5">
            <w:pPr>
              <w:autoSpaceDE w:val="0"/>
              <w:autoSpaceDN w:val="0"/>
              <w:adjustRightInd w:val="0"/>
              <w:spacing w:after="0"/>
              <w:contextualSpacing/>
              <w:rPr>
                <w:rFonts w:ascii="Source Sans Pro" w:hAnsi="Source Sans Pro" w:cs="Arial-BoldItalicMT"/>
                <w:b/>
                <w:sz w:val="22"/>
                <w:lang w:val="fr-BE"/>
              </w:rPr>
            </w:pPr>
            <w:r w:rsidRPr="00DD7CDB">
              <w:rPr>
                <w:rFonts w:ascii="Source Sans Pro" w:hAnsi="Source Sans Pro" w:cs="Arial-BoldItalicMT"/>
                <w:b/>
                <w:sz w:val="22"/>
                <w:lang w:val="fr-BE"/>
              </w:rPr>
              <w:t>Le rapport explicatif accompagnant la recommandation fait partie intégrante de la recommandation.</w:t>
            </w:r>
          </w:p>
          <w:p w14:paraId="482F5480" w14:textId="77777777" w:rsidR="003F2CB5" w:rsidRPr="003F2CB5" w:rsidRDefault="003F2CB5" w:rsidP="005E26B1">
            <w:pPr>
              <w:autoSpaceDE w:val="0"/>
              <w:autoSpaceDN w:val="0"/>
              <w:adjustRightInd w:val="0"/>
              <w:spacing w:after="0"/>
              <w:contextualSpacing/>
              <w:rPr>
                <w:rFonts w:ascii="Source Sans Pro" w:hAnsi="Source Sans Pro" w:cs="Arial-BoldItalicMT"/>
                <w:sz w:val="22"/>
                <w:lang w:val="fr-FR"/>
              </w:rPr>
            </w:pPr>
          </w:p>
        </w:tc>
      </w:tr>
      <w:tr w:rsidR="00022EF7" w:rsidRPr="005E26B1" w14:paraId="37D65EEB" w14:textId="77777777" w:rsidTr="003474FC">
        <w:tc>
          <w:tcPr>
            <w:tcW w:w="4838" w:type="dxa"/>
          </w:tcPr>
          <w:p w14:paraId="68800D30" w14:textId="6476F494" w:rsidR="00022EF7" w:rsidRPr="005B769D" w:rsidRDefault="00022EF7" w:rsidP="00422A5D">
            <w:pPr>
              <w:pStyle w:val="NoSpacing"/>
              <w:rPr>
                <w:rFonts w:ascii="Source Sans Pro" w:hAnsi="Source Sans Pro" w:cs="Calibri"/>
                <w:sz w:val="22"/>
                <w:lang w:val="fr-BE"/>
              </w:rPr>
            </w:pPr>
          </w:p>
        </w:tc>
        <w:tc>
          <w:tcPr>
            <w:tcW w:w="4799" w:type="dxa"/>
          </w:tcPr>
          <w:p w14:paraId="1386DCEE" w14:textId="77777777" w:rsidR="00022EF7" w:rsidRPr="005B769D" w:rsidRDefault="00022EF7" w:rsidP="00E34523">
            <w:pPr>
              <w:pStyle w:val="NoSpacing"/>
              <w:jc w:val="center"/>
              <w:rPr>
                <w:rFonts w:ascii="Source Sans Pro" w:hAnsi="Source Sans Pro" w:cs="Calibri"/>
                <w:b/>
                <w:sz w:val="22"/>
                <w:lang w:val="fr-BE"/>
              </w:rPr>
            </w:pPr>
          </w:p>
        </w:tc>
      </w:tr>
    </w:tbl>
    <w:p w14:paraId="77B7DEF1" w14:textId="77777777" w:rsidR="001B3FDF" w:rsidRPr="005B769D" w:rsidRDefault="001B3FDF" w:rsidP="00E34523">
      <w:pPr>
        <w:pStyle w:val="NoSpacing"/>
        <w:jc w:val="left"/>
        <w:rPr>
          <w:rFonts w:ascii="Source Sans Pro" w:hAnsi="Source Sans Pro" w:cs="Calibri"/>
          <w:sz w:val="22"/>
          <w:lang w:val="fr-BE"/>
        </w:rPr>
      </w:pPr>
    </w:p>
    <w:sectPr w:rsidR="001B3FDF" w:rsidRPr="005B769D" w:rsidSect="00F00E85">
      <w:footnotePr>
        <w:pos w:val="beneathText"/>
      </w:footnotePr>
      <w:type w:val="continuous"/>
      <w:pgSz w:w="11905" w:h="16837" w:code="9"/>
      <w:pgMar w:top="1134" w:right="1134" w:bottom="1135"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EEC9" w14:textId="77777777" w:rsidR="00DC1BA0" w:rsidRDefault="00DC1BA0" w:rsidP="00B737C3">
      <w:pPr>
        <w:spacing w:after="0"/>
      </w:pPr>
      <w:r>
        <w:separator/>
      </w:r>
    </w:p>
  </w:endnote>
  <w:endnote w:type="continuationSeparator" w:id="0">
    <w:p w14:paraId="6A131059" w14:textId="77777777" w:rsidR="00DC1BA0" w:rsidRDefault="00DC1BA0" w:rsidP="00B737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charset w:val="00"/>
    <w:family w:val="roman"/>
    <w:pitch w:val="default"/>
  </w:font>
  <w:font w:name=".SFUIText-Regular">
    <w:altName w:val="Times New Roman"/>
    <w:charset w:val="00"/>
    <w:family w:val="roman"/>
    <w:pitch w:val="default"/>
  </w:font>
  <w:font w:name=".SFUIText-Italic">
    <w:altName w:val="Times New Roman"/>
    <w:charset w:val="00"/>
    <w:family w:val="roman"/>
    <w:pitch w:val="default"/>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7031"/>
      <w:docPartObj>
        <w:docPartGallery w:val="Page Numbers (Bottom of Page)"/>
        <w:docPartUnique/>
      </w:docPartObj>
    </w:sdtPr>
    <w:sdtEndPr>
      <w:rPr>
        <w:noProof/>
      </w:rPr>
    </w:sdtEndPr>
    <w:sdtContent>
      <w:p w14:paraId="2C0E150F" w14:textId="2C821151" w:rsidR="002A4B76" w:rsidRDefault="00F01DF1" w:rsidP="00C003FD">
        <w:pPr>
          <w:pStyle w:val="Footer"/>
          <w:jc w:val="center"/>
        </w:pPr>
        <w:r>
          <w:fldChar w:fldCharType="begin"/>
        </w:r>
        <w:r>
          <w:instrText xml:space="preserve"> PAGE   \* MERGEFORMAT </w:instrText>
        </w:r>
        <w:r>
          <w:fldChar w:fldCharType="separate"/>
        </w:r>
        <w:r w:rsidR="00DF64A8">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95FC" w14:textId="77777777" w:rsidR="00DC1BA0" w:rsidRDefault="00DC1BA0" w:rsidP="00B737C3">
      <w:pPr>
        <w:spacing w:after="0"/>
      </w:pPr>
      <w:r>
        <w:separator/>
      </w:r>
    </w:p>
  </w:footnote>
  <w:footnote w:type="continuationSeparator" w:id="0">
    <w:p w14:paraId="2C2E43C6" w14:textId="77777777" w:rsidR="00DC1BA0" w:rsidRDefault="00DC1BA0" w:rsidP="00B737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44"/>
    <w:multiLevelType w:val="multilevel"/>
    <w:tmpl w:val="898E9688"/>
    <w:styleLink w:val="SBSMultilevelBullets1"/>
    <w:lvl w:ilvl="0">
      <w:start w:val="1"/>
      <w:numFmt w:val="bullet"/>
      <w:lvlText w:val="–"/>
      <w:lvlJc w:val="left"/>
      <w:pPr>
        <w:ind w:left="284" w:hanging="284"/>
      </w:pPr>
      <w:rPr>
        <w:rFonts w:ascii="Times New Roman" w:hAnsi="Times New Roman" w:cs="Times New Roman"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Times New Roman" w:hAnsi="Times New Roman" w:cs="Times New Roman" w:hint="default"/>
        <w:color w:val="auto"/>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1701" w:hanging="283"/>
      </w:pPr>
      <w:rPr>
        <w:rFonts w:ascii="Times New Roman" w:hAnsi="Times New Roman" w:cs="Times New Roman" w:hint="default"/>
        <w:color w:val="auto"/>
      </w:rPr>
    </w:lvl>
    <w:lvl w:ilvl="6">
      <w:start w:val="1"/>
      <w:numFmt w:val="bullet"/>
      <w:lvlText w:val="▪"/>
      <w:lvlJc w:val="left"/>
      <w:pPr>
        <w:ind w:left="1985" w:hanging="284"/>
      </w:pPr>
      <w:rPr>
        <w:rFonts w:ascii="Times New Roman" w:hAnsi="Times New Roman" w:cs="Times New Roman" w:hint="default"/>
        <w:color w:val="auto"/>
      </w:rPr>
    </w:lvl>
    <w:lvl w:ilvl="7">
      <w:start w:val="1"/>
      <w:numFmt w:val="bullet"/>
      <w:lvlText w:val="▪"/>
      <w:lvlJc w:val="left"/>
      <w:pPr>
        <w:ind w:left="2268" w:hanging="283"/>
      </w:pPr>
      <w:rPr>
        <w:rFonts w:ascii="Times New Roman" w:hAnsi="Times New Roman" w:cs="Times New Roman" w:hint="default"/>
        <w:color w:val="auto"/>
      </w:rPr>
    </w:lvl>
    <w:lvl w:ilvl="8">
      <w:start w:val="1"/>
      <w:numFmt w:val="bullet"/>
      <w:lvlText w:val="▪"/>
      <w:lvlJc w:val="left"/>
      <w:pPr>
        <w:ind w:left="2552" w:hanging="284"/>
      </w:pPr>
      <w:rPr>
        <w:rFonts w:ascii="Times New Roman" w:hAnsi="Times New Roman" w:cs="Times New Roman" w:hint="default"/>
        <w:color w:val="auto"/>
      </w:rPr>
    </w:lvl>
  </w:abstractNum>
  <w:abstractNum w:abstractNumId="1" w15:restartNumberingAfterBreak="0">
    <w:nsid w:val="0E6E522F"/>
    <w:multiLevelType w:val="hybridMultilevel"/>
    <w:tmpl w:val="86502526"/>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13B73F6"/>
    <w:multiLevelType w:val="hybridMultilevel"/>
    <w:tmpl w:val="F08A76BA"/>
    <w:styleLink w:val="Gemporteerdestijl1"/>
    <w:lvl w:ilvl="0" w:tplc="4AD8C584">
      <w:start w:val="1"/>
      <w:numFmt w:val="bullet"/>
      <w:lvlText w:val="—"/>
      <w:lvlJc w:val="left"/>
      <w:pPr>
        <w:tabs>
          <w:tab w:val="num" w:pos="708"/>
        </w:tabs>
        <w:ind w:left="351" w:firstLine="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061E72">
      <w:start w:val="1"/>
      <w:numFmt w:val="bullet"/>
      <w:lvlText w:val="o"/>
      <w:lvlJc w:val="left"/>
      <w:pPr>
        <w:ind w:left="993"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7E82CEC6">
      <w:start w:val="1"/>
      <w:numFmt w:val="bullet"/>
      <w:lvlText w:val="▪"/>
      <w:lvlJc w:val="left"/>
      <w:pPr>
        <w:ind w:left="1713"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01D232B2">
      <w:start w:val="1"/>
      <w:numFmt w:val="bullet"/>
      <w:lvlText w:val="•"/>
      <w:lvlJc w:val="left"/>
      <w:pPr>
        <w:ind w:left="2433"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2F82FBDA">
      <w:start w:val="1"/>
      <w:numFmt w:val="bullet"/>
      <w:lvlText w:val="o"/>
      <w:lvlJc w:val="left"/>
      <w:pPr>
        <w:ind w:left="3153"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7C460A26">
      <w:start w:val="1"/>
      <w:numFmt w:val="bullet"/>
      <w:lvlText w:val="▪"/>
      <w:lvlJc w:val="left"/>
      <w:pPr>
        <w:ind w:left="3873"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9E4EA664">
      <w:start w:val="1"/>
      <w:numFmt w:val="bullet"/>
      <w:lvlText w:val="•"/>
      <w:lvlJc w:val="left"/>
      <w:pPr>
        <w:ind w:left="4593"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FE46669A">
      <w:start w:val="1"/>
      <w:numFmt w:val="bullet"/>
      <w:lvlText w:val="o"/>
      <w:lvlJc w:val="left"/>
      <w:pPr>
        <w:ind w:left="5313"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B43AB804">
      <w:start w:val="1"/>
      <w:numFmt w:val="bullet"/>
      <w:lvlText w:val="▪"/>
      <w:lvlJc w:val="left"/>
      <w:pPr>
        <w:ind w:left="6033"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41DF47F8"/>
    <w:multiLevelType w:val="multilevel"/>
    <w:tmpl w:val="AB8CAD80"/>
    <w:styleLink w:val="SBSMultilevelList2"/>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360" w:hanging="360"/>
      </w:pPr>
      <w:rPr>
        <w:rFonts w:hint="default"/>
      </w:rPr>
    </w:lvl>
    <w:lvl w:ilvl="5">
      <w:start w:val="1"/>
      <w:numFmt w:val="decimal"/>
      <w:lvlText w:val="%3.%4.%5.%6."/>
      <w:lvlJc w:val="left"/>
      <w:pPr>
        <w:ind w:left="360" w:hanging="360"/>
      </w:pPr>
      <w:rPr>
        <w:rFonts w:hint="default"/>
      </w:rPr>
    </w:lvl>
    <w:lvl w:ilvl="6">
      <w:start w:val="1"/>
      <w:numFmt w:val="decimal"/>
      <w:lvlText w:val="%3.%4.%5.%6.%7."/>
      <w:lvlJc w:val="left"/>
      <w:pPr>
        <w:ind w:left="360" w:hanging="360"/>
      </w:pPr>
      <w:rPr>
        <w:rFonts w:hint="default"/>
      </w:rPr>
    </w:lvl>
    <w:lvl w:ilvl="7">
      <w:start w:val="1"/>
      <w:numFmt w:val="decimal"/>
      <w:lvlText w:val="%3.%4.%5.%6.%7.%8."/>
      <w:lvlJc w:val="left"/>
      <w:pPr>
        <w:ind w:left="360" w:hanging="360"/>
      </w:pPr>
      <w:rPr>
        <w:rFonts w:hint="default"/>
      </w:rPr>
    </w:lvl>
    <w:lvl w:ilvl="8">
      <w:start w:val="1"/>
      <w:numFmt w:val="decimal"/>
      <w:lvlText w:val="%3.%4.%5.%6.%7.%8.%9."/>
      <w:lvlJc w:val="left"/>
      <w:pPr>
        <w:ind w:left="360" w:hanging="360"/>
      </w:pPr>
      <w:rPr>
        <w:rFonts w:hint="default"/>
      </w:rPr>
    </w:lvl>
  </w:abstractNum>
  <w:abstractNum w:abstractNumId="4" w15:restartNumberingAfterBreak="0">
    <w:nsid w:val="7EB40746"/>
    <w:multiLevelType w:val="multilevel"/>
    <w:tmpl w:val="59D0D46A"/>
    <w:styleLink w:val="SBSMultilevel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decimal"/>
      <w:pStyle w:val="Heading5"/>
      <w:lvlText w:val="%1.%2.%3.%4.%5."/>
      <w:lvlJc w:val="left"/>
      <w:pPr>
        <w:ind w:left="360" w:hanging="360"/>
      </w:pPr>
      <w:rPr>
        <w:rFonts w:hint="default"/>
      </w:rPr>
    </w:lvl>
    <w:lvl w:ilvl="5">
      <w:start w:val="1"/>
      <w:numFmt w:val="decimal"/>
      <w:pStyle w:val="Heading6"/>
      <w:lvlText w:val="%1.%2.%3.%4.%5.%6."/>
      <w:lvlJc w:val="left"/>
      <w:pPr>
        <w:ind w:left="360" w:hanging="360"/>
      </w:pPr>
      <w:rPr>
        <w:rFonts w:hint="default"/>
      </w:rPr>
    </w:lvl>
    <w:lvl w:ilvl="6">
      <w:start w:val="1"/>
      <w:numFmt w:val="decimal"/>
      <w:pStyle w:val="Heading7"/>
      <w:lvlText w:val="%1.%2.%3.%4.%5.%6.%7."/>
      <w:lvlJc w:val="left"/>
      <w:pPr>
        <w:ind w:left="360" w:hanging="360"/>
      </w:pPr>
      <w:rPr>
        <w:rFonts w:hint="default"/>
      </w:rPr>
    </w:lvl>
    <w:lvl w:ilvl="7">
      <w:start w:val="1"/>
      <w:numFmt w:val="decimal"/>
      <w:pStyle w:val="Heading8"/>
      <w:lvlText w:val="%1.%2.%3.%4.%5.%6.%7.%8."/>
      <w:lvlJc w:val="left"/>
      <w:pPr>
        <w:ind w:left="360" w:hanging="360"/>
      </w:pPr>
      <w:rPr>
        <w:rFonts w:hint="default"/>
      </w:rPr>
    </w:lvl>
    <w:lvl w:ilvl="8">
      <w:start w:val="1"/>
      <w:numFmt w:val="decimal"/>
      <w:pStyle w:val="Heading9"/>
      <w:lvlText w:val="%1.%2.%3.%4.%5.%6.%7.%8.%9."/>
      <w:lvlJc w:val="left"/>
      <w:pPr>
        <w:ind w:left="360" w:hanging="360"/>
      </w:pPr>
      <w:rPr>
        <w:rFonts w:hint="default"/>
      </w:rPr>
    </w:lvl>
  </w:abstractNum>
  <w:num w:numId="1" w16cid:durableId="16007506">
    <w:abstractNumId w:val="0"/>
  </w:num>
  <w:num w:numId="2" w16cid:durableId="1465732428">
    <w:abstractNumId w:val="4"/>
  </w:num>
  <w:num w:numId="3" w16cid:durableId="57365549">
    <w:abstractNumId w:val="3"/>
  </w:num>
  <w:num w:numId="4" w16cid:durableId="47146547">
    <w:abstractNumId w:val="4"/>
  </w:num>
  <w:num w:numId="5" w16cid:durableId="429013318">
    <w:abstractNumId w:val="2"/>
  </w:num>
  <w:num w:numId="6" w16cid:durableId="1018240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402"/>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4BA4FB8-FE37-4D0C-8FEC-B26DD4F4AD0E}"/>
    <w:docVar w:name="dgnword-eventsink" w:val="268906400"/>
  </w:docVars>
  <w:rsids>
    <w:rsidRoot w:val="00520A5B"/>
    <w:rsid w:val="00004562"/>
    <w:rsid w:val="00004EAD"/>
    <w:rsid w:val="00014F77"/>
    <w:rsid w:val="000173C9"/>
    <w:rsid w:val="00022EF7"/>
    <w:rsid w:val="000303A6"/>
    <w:rsid w:val="00030523"/>
    <w:rsid w:val="00031CBA"/>
    <w:rsid w:val="0003245F"/>
    <w:rsid w:val="00033A2C"/>
    <w:rsid w:val="000412D1"/>
    <w:rsid w:val="00041FC4"/>
    <w:rsid w:val="00046611"/>
    <w:rsid w:val="000511A1"/>
    <w:rsid w:val="00054BA0"/>
    <w:rsid w:val="000622B1"/>
    <w:rsid w:val="00071EF7"/>
    <w:rsid w:val="00074ADE"/>
    <w:rsid w:val="00077BEF"/>
    <w:rsid w:val="00080DF1"/>
    <w:rsid w:val="000921E3"/>
    <w:rsid w:val="00092650"/>
    <w:rsid w:val="000A0E4D"/>
    <w:rsid w:val="000A470F"/>
    <w:rsid w:val="000A5306"/>
    <w:rsid w:val="000B1704"/>
    <w:rsid w:val="000C1038"/>
    <w:rsid w:val="000C17F4"/>
    <w:rsid w:val="000C2791"/>
    <w:rsid w:val="000C49F2"/>
    <w:rsid w:val="000C4DF9"/>
    <w:rsid w:val="000D4B54"/>
    <w:rsid w:val="000E473F"/>
    <w:rsid w:val="000F3A6E"/>
    <w:rsid w:val="00101F00"/>
    <w:rsid w:val="00110206"/>
    <w:rsid w:val="001110F8"/>
    <w:rsid w:val="00111A92"/>
    <w:rsid w:val="0011247A"/>
    <w:rsid w:val="001132CC"/>
    <w:rsid w:val="00113ED8"/>
    <w:rsid w:val="00115F32"/>
    <w:rsid w:val="00120AE7"/>
    <w:rsid w:val="00121C8C"/>
    <w:rsid w:val="00127722"/>
    <w:rsid w:val="001356A6"/>
    <w:rsid w:val="0014243F"/>
    <w:rsid w:val="00144E0E"/>
    <w:rsid w:val="00146AC6"/>
    <w:rsid w:val="00146D2D"/>
    <w:rsid w:val="00155633"/>
    <w:rsid w:val="00155B93"/>
    <w:rsid w:val="001621EA"/>
    <w:rsid w:val="00163042"/>
    <w:rsid w:val="00165689"/>
    <w:rsid w:val="00165B07"/>
    <w:rsid w:val="0017697E"/>
    <w:rsid w:val="00180998"/>
    <w:rsid w:val="00184894"/>
    <w:rsid w:val="00185750"/>
    <w:rsid w:val="00186753"/>
    <w:rsid w:val="00186FB5"/>
    <w:rsid w:val="001914C4"/>
    <w:rsid w:val="001924E9"/>
    <w:rsid w:val="001976AB"/>
    <w:rsid w:val="001A6D67"/>
    <w:rsid w:val="001A7365"/>
    <w:rsid w:val="001B3FDF"/>
    <w:rsid w:val="001B7087"/>
    <w:rsid w:val="001B7A9F"/>
    <w:rsid w:val="001C0C5F"/>
    <w:rsid w:val="001C175D"/>
    <w:rsid w:val="001C33F4"/>
    <w:rsid w:val="001C375C"/>
    <w:rsid w:val="001D4936"/>
    <w:rsid w:val="001E0319"/>
    <w:rsid w:val="001E1711"/>
    <w:rsid w:val="001E1ABE"/>
    <w:rsid w:val="001E317E"/>
    <w:rsid w:val="001E7C87"/>
    <w:rsid w:val="001F712D"/>
    <w:rsid w:val="001F7B0C"/>
    <w:rsid w:val="00200510"/>
    <w:rsid w:val="002016E2"/>
    <w:rsid w:val="002026CD"/>
    <w:rsid w:val="0020512C"/>
    <w:rsid w:val="00205CB8"/>
    <w:rsid w:val="00206D92"/>
    <w:rsid w:val="0021102A"/>
    <w:rsid w:val="002150DB"/>
    <w:rsid w:val="00215ED3"/>
    <w:rsid w:val="00216E48"/>
    <w:rsid w:val="00220541"/>
    <w:rsid w:val="002212A3"/>
    <w:rsid w:val="002228BC"/>
    <w:rsid w:val="00225CC3"/>
    <w:rsid w:val="002278FA"/>
    <w:rsid w:val="00231FC1"/>
    <w:rsid w:val="00234FF9"/>
    <w:rsid w:val="00235018"/>
    <w:rsid w:val="002369E4"/>
    <w:rsid w:val="0023718D"/>
    <w:rsid w:val="0023743B"/>
    <w:rsid w:val="00241C63"/>
    <w:rsid w:val="0024618F"/>
    <w:rsid w:val="002467BA"/>
    <w:rsid w:val="00256497"/>
    <w:rsid w:val="00256A7D"/>
    <w:rsid w:val="0025718D"/>
    <w:rsid w:val="00262F9C"/>
    <w:rsid w:val="002732BD"/>
    <w:rsid w:val="0028252A"/>
    <w:rsid w:val="0028357A"/>
    <w:rsid w:val="002858B7"/>
    <w:rsid w:val="00295CAE"/>
    <w:rsid w:val="002A18B5"/>
    <w:rsid w:val="002A4B76"/>
    <w:rsid w:val="002A6A67"/>
    <w:rsid w:val="002A7AE8"/>
    <w:rsid w:val="002B18F5"/>
    <w:rsid w:val="002B43BA"/>
    <w:rsid w:val="002B4D39"/>
    <w:rsid w:val="002B56B6"/>
    <w:rsid w:val="002C1902"/>
    <w:rsid w:val="002C6D9A"/>
    <w:rsid w:val="002C7143"/>
    <w:rsid w:val="002D0B45"/>
    <w:rsid w:val="002D22AF"/>
    <w:rsid w:val="002D354F"/>
    <w:rsid w:val="002D6832"/>
    <w:rsid w:val="002E0D50"/>
    <w:rsid w:val="002E10F2"/>
    <w:rsid w:val="002E154D"/>
    <w:rsid w:val="002E1A3C"/>
    <w:rsid w:val="002E2F85"/>
    <w:rsid w:val="002E7734"/>
    <w:rsid w:val="002F32B7"/>
    <w:rsid w:val="002F6E43"/>
    <w:rsid w:val="00301B74"/>
    <w:rsid w:val="00304762"/>
    <w:rsid w:val="00311875"/>
    <w:rsid w:val="0032310B"/>
    <w:rsid w:val="00340D02"/>
    <w:rsid w:val="00341773"/>
    <w:rsid w:val="00341E50"/>
    <w:rsid w:val="00343584"/>
    <w:rsid w:val="00346DFB"/>
    <w:rsid w:val="003474FC"/>
    <w:rsid w:val="00347F61"/>
    <w:rsid w:val="0035105C"/>
    <w:rsid w:val="00355B03"/>
    <w:rsid w:val="003575CC"/>
    <w:rsid w:val="003640A7"/>
    <w:rsid w:val="00364463"/>
    <w:rsid w:val="003646CA"/>
    <w:rsid w:val="00367948"/>
    <w:rsid w:val="003734FE"/>
    <w:rsid w:val="00377E41"/>
    <w:rsid w:val="0038538B"/>
    <w:rsid w:val="00395B00"/>
    <w:rsid w:val="0039639E"/>
    <w:rsid w:val="0039713B"/>
    <w:rsid w:val="00397173"/>
    <w:rsid w:val="003A1A42"/>
    <w:rsid w:val="003A24EA"/>
    <w:rsid w:val="003B298C"/>
    <w:rsid w:val="003B508A"/>
    <w:rsid w:val="003B5C5E"/>
    <w:rsid w:val="003C17E3"/>
    <w:rsid w:val="003C27E1"/>
    <w:rsid w:val="003C2B83"/>
    <w:rsid w:val="003C563B"/>
    <w:rsid w:val="003D15A9"/>
    <w:rsid w:val="003D1674"/>
    <w:rsid w:val="003D642E"/>
    <w:rsid w:val="003D6A6B"/>
    <w:rsid w:val="003E311F"/>
    <w:rsid w:val="003E5E23"/>
    <w:rsid w:val="003E690C"/>
    <w:rsid w:val="003F0700"/>
    <w:rsid w:val="003F2CB5"/>
    <w:rsid w:val="003F6E3D"/>
    <w:rsid w:val="003F7D80"/>
    <w:rsid w:val="00407587"/>
    <w:rsid w:val="00415C17"/>
    <w:rsid w:val="0042160F"/>
    <w:rsid w:val="004220A3"/>
    <w:rsid w:val="00422A5D"/>
    <w:rsid w:val="00424431"/>
    <w:rsid w:val="00447DA8"/>
    <w:rsid w:val="00447F6F"/>
    <w:rsid w:val="00447FAB"/>
    <w:rsid w:val="00452727"/>
    <w:rsid w:val="00454272"/>
    <w:rsid w:val="004646E5"/>
    <w:rsid w:val="00466801"/>
    <w:rsid w:val="00470DAF"/>
    <w:rsid w:val="00470DD8"/>
    <w:rsid w:val="0047188C"/>
    <w:rsid w:val="00471DB3"/>
    <w:rsid w:val="00475269"/>
    <w:rsid w:val="00477201"/>
    <w:rsid w:val="00482521"/>
    <w:rsid w:val="0049136C"/>
    <w:rsid w:val="00493722"/>
    <w:rsid w:val="004957E8"/>
    <w:rsid w:val="004A37FB"/>
    <w:rsid w:val="004A71AB"/>
    <w:rsid w:val="004B13BB"/>
    <w:rsid w:val="004B13DE"/>
    <w:rsid w:val="004B3CA9"/>
    <w:rsid w:val="004C3134"/>
    <w:rsid w:val="004C6B43"/>
    <w:rsid w:val="004D499D"/>
    <w:rsid w:val="004E0943"/>
    <w:rsid w:val="004F1536"/>
    <w:rsid w:val="004F19E4"/>
    <w:rsid w:val="004F4D94"/>
    <w:rsid w:val="00515BF5"/>
    <w:rsid w:val="00515D6A"/>
    <w:rsid w:val="00516552"/>
    <w:rsid w:val="00516E8A"/>
    <w:rsid w:val="00517F30"/>
    <w:rsid w:val="00520A5B"/>
    <w:rsid w:val="00521C6C"/>
    <w:rsid w:val="00545F13"/>
    <w:rsid w:val="00550906"/>
    <w:rsid w:val="00550E4B"/>
    <w:rsid w:val="00561091"/>
    <w:rsid w:val="00563BE9"/>
    <w:rsid w:val="00573B14"/>
    <w:rsid w:val="00575D7F"/>
    <w:rsid w:val="00582D8A"/>
    <w:rsid w:val="00590E8E"/>
    <w:rsid w:val="0059163B"/>
    <w:rsid w:val="00593236"/>
    <w:rsid w:val="0059526E"/>
    <w:rsid w:val="005956C1"/>
    <w:rsid w:val="005956EE"/>
    <w:rsid w:val="00597590"/>
    <w:rsid w:val="005A4C57"/>
    <w:rsid w:val="005B00A4"/>
    <w:rsid w:val="005B6600"/>
    <w:rsid w:val="005B6A57"/>
    <w:rsid w:val="005B769D"/>
    <w:rsid w:val="005B7EF2"/>
    <w:rsid w:val="005C3425"/>
    <w:rsid w:val="005E0E43"/>
    <w:rsid w:val="005E26B1"/>
    <w:rsid w:val="005F5D06"/>
    <w:rsid w:val="005F6DD1"/>
    <w:rsid w:val="005F731A"/>
    <w:rsid w:val="00600A5F"/>
    <w:rsid w:val="00602670"/>
    <w:rsid w:val="006079C9"/>
    <w:rsid w:val="00612C00"/>
    <w:rsid w:val="006144C5"/>
    <w:rsid w:val="00615BC7"/>
    <w:rsid w:val="00616A1C"/>
    <w:rsid w:val="0062139B"/>
    <w:rsid w:val="0062190E"/>
    <w:rsid w:val="00627A01"/>
    <w:rsid w:val="0063355E"/>
    <w:rsid w:val="00634647"/>
    <w:rsid w:val="006378F5"/>
    <w:rsid w:val="00646797"/>
    <w:rsid w:val="006528EE"/>
    <w:rsid w:val="00655C85"/>
    <w:rsid w:val="00662F8A"/>
    <w:rsid w:val="00663016"/>
    <w:rsid w:val="0066623F"/>
    <w:rsid w:val="00666B63"/>
    <w:rsid w:val="00671605"/>
    <w:rsid w:val="00674DAA"/>
    <w:rsid w:val="006834C8"/>
    <w:rsid w:val="00684E01"/>
    <w:rsid w:val="006925AB"/>
    <w:rsid w:val="00692D6F"/>
    <w:rsid w:val="00695451"/>
    <w:rsid w:val="00697B0C"/>
    <w:rsid w:val="006A1A0B"/>
    <w:rsid w:val="006C1599"/>
    <w:rsid w:val="006C189E"/>
    <w:rsid w:val="006C5E41"/>
    <w:rsid w:val="006D045F"/>
    <w:rsid w:val="006D5BE4"/>
    <w:rsid w:val="006D738B"/>
    <w:rsid w:val="006E3E5A"/>
    <w:rsid w:val="006E4428"/>
    <w:rsid w:val="006F0404"/>
    <w:rsid w:val="006F19B3"/>
    <w:rsid w:val="006F674D"/>
    <w:rsid w:val="006F7E12"/>
    <w:rsid w:val="00707ECE"/>
    <w:rsid w:val="00710EC6"/>
    <w:rsid w:val="00711DE1"/>
    <w:rsid w:val="00720882"/>
    <w:rsid w:val="00724817"/>
    <w:rsid w:val="00725E42"/>
    <w:rsid w:val="00726571"/>
    <w:rsid w:val="00727848"/>
    <w:rsid w:val="00727882"/>
    <w:rsid w:val="00730117"/>
    <w:rsid w:val="00732E38"/>
    <w:rsid w:val="007341AD"/>
    <w:rsid w:val="0074214D"/>
    <w:rsid w:val="00755D2F"/>
    <w:rsid w:val="00763B86"/>
    <w:rsid w:val="007651EB"/>
    <w:rsid w:val="00766B69"/>
    <w:rsid w:val="007675C1"/>
    <w:rsid w:val="00771B1C"/>
    <w:rsid w:val="00771F75"/>
    <w:rsid w:val="00783DC8"/>
    <w:rsid w:val="00791791"/>
    <w:rsid w:val="0079184E"/>
    <w:rsid w:val="00796D37"/>
    <w:rsid w:val="007A569B"/>
    <w:rsid w:val="007A64A7"/>
    <w:rsid w:val="007B0631"/>
    <w:rsid w:val="007B1A50"/>
    <w:rsid w:val="007B40E5"/>
    <w:rsid w:val="007C0B9D"/>
    <w:rsid w:val="007D1E81"/>
    <w:rsid w:val="007D2B0C"/>
    <w:rsid w:val="007D662F"/>
    <w:rsid w:val="007D7DD2"/>
    <w:rsid w:val="007E2B73"/>
    <w:rsid w:val="007E47B7"/>
    <w:rsid w:val="007E4DA8"/>
    <w:rsid w:val="007E6D00"/>
    <w:rsid w:val="007F7B29"/>
    <w:rsid w:val="00801F3C"/>
    <w:rsid w:val="0080572E"/>
    <w:rsid w:val="0080636D"/>
    <w:rsid w:val="008067E4"/>
    <w:rsid w:val="00810BAC"/>
    <w:rsid w:val="00821C83"/>
    <w:rsid w:val="008310D9"/>
    <w:rsid w:val="00833C48"/>
    <w:rsid w:val="0083575F"/>
    <w:rsid w:val="00836EA9"/>
    <w:rsid w:val="00846B69"/>
    <w:rsid w:val="00847EDF"/>
    <w:rsid w:val="00851D2E"/>
    <w:rsid w:val="008572B7"/>
    <w:rsid w:val="00861AB5"/>
    <w:rsid w:val="008715DD"/>
    <w:rsid w:val="0087216B"/>
    <w:rsid w:val="00873CCC"/>
    <w:rsid w:val="0087682D"/>
    <w:rsid w:val="00877587"/>
    <w:rsid w:val="00885A4F"/>
    <w:rsid w:val="00885E43"/>
    <w:rsid w:val="008A09AB"/>
    <w:rsid w:val="008A1457"/>
    <w:rsid w:val="008A34D7"/>
    <w:rsid w:val="008A38FF"/>
    <w:rsid w:val="008A3B41"/>
    <w:rsid w:val="008A5354"/>
    <w:rsid w:val="008B412E"/>
    <w:rsid w:val="008B44A7"/>
    <w:rsid w:val="008B6676"/>
    <w:rsid w:val="008C3E8D"/>
    <w:rsid w:val="008C65D5"/>
    <w:rsid w:val="008C6ECD"/>
    <w:rsid w:val="008D25BC"/>
    <w:rsid w:val="008D3189"/>
    <w:rsid w:val="008D6330"/>
    <w:rsid w:val="008D79A9"/>
    <w:rsid w:val="008F4D1D"/>
    <w:rsid w:val="00903F0D"/>
    <w:rsid w:val="00910B5B"/>
    <w:rsid w:val="00913900"/>
    <w:rsid w:val="00924F4A"/>
    <w:rsid w:val="00925614"/>
    <w:rsid w:val="00925A20"/>
    <w:rsid w:val="009263C9"/>
    <w:rsid w:val="00931324"/>
    <w:rsid w:val="0094036C"/>
    <w:rsid w:val="0094292C"/>
    <w:rsid w:val="00947A4B"/>
    <w:rsid w:val="00947FFD"/>
    <w:rsid w:val="00950D2B"/>
    <w:rsid w:val="00950F40"/>
    <w:rsid w:val="009515A7"/>
    <w:rsid w:val="009532D6"/>
    <w:rsid w:val="00954EA3"/>
    <w:rsid w:val="00961131"/>
    <w:rsid w:val="009617A3"/>
    <w:rsid w:val="00961D07"/>
    <w:rsid w:val="00965653"/>
    <w:rsid w:val="00992AA6"/>
    <w:rsid w:val="0099467B"/>
    <w:rsid w:val="00994FE1"/>
    <w:rsid w:val="009A012D"/>
    <w:rsid w:val="009A5699"/>
    <w:rsid w:val="009B7644"/>
    <w:rsid w:val="009C62A1"/>
    <w:rsid w:val="009D177C"/>
    <w:rsid w:val="009D3B39"/>
    <w:rsid w:val="009D63CD"/>
    <w:rsid w:val="009D78AF"/>
    <w:rsid w:val="009E2CFA"/>
    <w:rsid w:val="009F7A87"/>
    <w:rsid w:val="00A00421"/>
    <w:rsid w:val="00A02B4F"/>
    <w:rsid w:val="00A0592E"/>
    <w:rsid w:val="00A05F0A"/>
    <w:rsid w:val="00A160F8"/>
    <w:rsid w:val="00A1634F"/>
    <w:rsid w:val="00A300B7"/>
    <w:rsid w:val="00A323D4"/>
    <w:rsid w:val="00A36B81"/>
    <w:rsid w:val="00A40D72"/>
    <w:rsid w:val="00A463DE"/>
    <w:rsid w:val="00A564F5"/>
    <w:rsid w:val="00A60E24"/>
    <w:rsid w:val="00A649B0"/>
    <w:rsid w:val="00A672E0"/>
    <w:rsid w:val="00A725FC"/>
    <w:rsid w:val="00A7408F"/>
    <w:rsid w:val="00A74827"/>
    <w:rsid w:val="00A86015"/>
    <w:rsid w:val="00A94525"/>
    <w:rsid w:val="00A94C41"/>
    <w:rsid w:val="00AA2441"/>
    <w:rsid w:val="00AA6D06"/>
    <w:rsid w:val="00AB6B85"/>
    <w:rsid w:val="00AC35D0"/>
    <w:rsid w:val="00AC3EC7"/>
    <w:rsid w:val="00AD0C0F"/>
    <w:rsid w:val="00AD0C8D"/>
    <w:rsid w:val="00AD12DA"/>
    <w:rsid w:val="00AD5F62"/>
    <w:rsid w:val="00AD6966"/>
    <w:rsid w:val="00AF16E2"/>
    <w:rsid w:val="00AF37EA"/>
    <w:rsid w:val="00B103CA"/>
    <w:rsid w:val="00B1692A"/>
    <w:rsid w:val="00B21B5E"/>
    <w:rsid w:val="00B30CA1"/>
    <w:rsid w:val="00B33D73"/>
    <w:rsid w:val="00B3407B"/>
    <w:rsid w:val="00B370E7"/>
    <w:rsid w:val="00B42DD7"/>
    <w:rsid w:val="00B44341"/>
    <w:rsid w:val="00B44D55"/>
    <w:rsid w:val="00B4510C"/>
    <w:rsid w:val="00B4613E"/>
    <w:rsid w:val="00B52378"/>
    <w:rsid w:val="00B53CF7"/>
    <w:rsid w:val="00B53E2C"/>
    <w:rsid w:val="00B60F59"/>
    <w:rsid w:val="00B637EB"/>
    <w:rsid w:val="00B737C3"/>
    <w:rsid w:val="00B75538"/>
    <w:rsid w:val="00B828F5"/>
    <w:rsid w:val="00B84498"/>
    <w:rsid w:val="00B844A4"/>
    <w:rsid w:val="00B86AEF"/>
    <w:rsid w:val="00B87C43"/>
    <w:rsid w:val="00B90706"/>
    <w:rsid w:val="00B97CA3"/>
    <w:rsid w:val="00B97CFC"/>
    <w:rsid w:val="00BA3A3F"/>
    <w:rsid w:val="00BA3EEE"/>
    <w:rsid w:val="00BA4F50"/>
    <w:rsid w:val="00BA6156"/>
    <w:rsid w:val="00BB24D4"/>
    <w:rsid w:val="00BC0879"/>
    <w:rsid w:val="00BC1254"/>
    <w:rsid w:val="00BC1408"/>
    <w:rsid w:val="00BC2AFC"/>
    <w:rsid w:val="00BC4333"/>
    <w:rsid w:val="00BC501F"/>
    <w:rsid w:val="00BC5439"/>
    <w:rsid w:val="00BC651A"/>
    <w:rsid w:val="00BD01FE"/>
    <w:rsid w:val="00BD4D52"/>
    <w:rsid w:val="00BD6BB0"/>
    <w:rsid w:val="00BE0CFE"/>
    <w:rsid w:val="00BE3C05"/>
    <w:rsid w:val="00BE4108"/>
    <w:rsid w:val="00BE5DB5"/>
    <w:rsid w:val="00BE6357"/>
    <w:rsid w:val="00BE7B45"/>
    <w:rsid w:val="00BF4D94"/>
    <w:rsid w:val="00BF648F"/>
    <w:rsid w:val="00BF7FD4"/>
    <w:rsid w:val="00C003FD"/>
    <w:rsid w:val="00C04B3D"/>
    <w:rsid w:val="00C10EC1"/>
    <w:rsid w:val="00C17084"/>
    <w:rsid w:val="00C20731"/>
    <w:rsid w:val="00C236E0"/>
    <w:rsid w:val="00C24530"/>
    <w:rsid w:val="00C24AFC"/>
    <w:rsid w:val="00C24FEB"/>
    <w:rsid w:val="00C30D50"/>
    <w:rsid w:val="00C31617"/>
    <w:rsid w:val="00C33E15"/>
    <w:rsid w:val="00C411A8"/>
    <w:rsid w:val="00C43D3A"/>
    <w:rsid w:val="00C444CD"/>
    <w:rsid w:val="00C461AF"/>
    <w:rsid w:val="00C47E4F"/>
    <w:rsid w:val="00C603F5"/>
    <w:rsid w:val="00C61923"/>
    <w:rsid w:val="00C627D9"/>
    <w:rsid w:val="00C65C5C"/>
    <w:rsid w:val="00C717BC"/>
    <w:rsid w:val="00C7233F"/>
    <w:rsid w:val="00C81F1F"/>
    <w:rsid w:val="00C834F8"/>
    <w:rsid w:val="00C85B00"/>
    <w:rsid w:val="00CA1F9F"/>
    <w:rsid w:val="00CA45F2"/>
    <w:rsid w:val="00CA47B7"/>
    <w:rsid w:val="00CB1BF1"/>
    <w:rsid w:val="00CB3A80"/>
    <w:rsid w:val="00CC2D16"/>
    <w:rsid w:val="00CC3B17"/>
    <w:rsid w:val="00CC4FE0"/>
    <w:rsid w:val="00CC6905"/>
    <w:rsid w:val="00CC7460"/>
    <w:rsid w:val="00CD24F2"/>
    <w:rsid w:val="00CD6BD3"/>
    <w:rsid w:val="00CE0532"/>
    <w:rsid w:val="00CE2EDC"/>
    <w:rsid w:val="00CE4C8F"/>
    <w:rsid w:val="00CE57CE"/>
    <w:rsid w:val="00CF6CC8"/>
    <w:rsid w:val="00CF742E"/>
    <w:rsid w:val="00D013D4"/>
    <w:rsid w:val="00D0196B"/>
    <w:rsid w:val="00D071AA"/>
    <w:rsid w:val="00D11979"/>
    <w:rsid w:val="00D12099"/>
    <w:rsid w:val="00D146CA"/>
    <w:rsid w:val="00D14C69"/>
    <w:rsid w:val="00D20F7A"/>
    <w:rsid w:val="00D23BD8"/>
    <w:rsid w:val="00D36894"/>
    <w:rsid w:val="00D4037C"/>
    <w:rsid w:val="00D42238"/>
    <w:rsid w:val="00D435CF"/>
    <w:rsid w:val="00D44B33"/>
    <w:rsid w:val="00D5582C"/>
    <w:rsid w:val="00D603CF"/>
    <w:rsid w:val="00D62B5C"/>
    <w:rsid w:val="00D706C8"/>
    <w:rsid w:val="00D750A8"/>
    <w:rsid w:val="00D80C11"/>
    <w:rsid w:val="00D8388A"/>
    <w:rsid w:val="00D83F82"/>
    <w:rsid w:val="00D84284"/>
    <w:rsid w:val="00D85151"/>
    <w:rsid w:val="00D85F0D"/>
    <w:rsid w:val="00D85F8C"/>
    <w:rsid w:val="00D86FBF"/>
    <w:rsid w:val="00D9067A"/>
    <w:rsid w:val="00D94B59"/>
    <w:rsid w:val="00DA490D"/>
    <w:rsid w:val="00DA6039"/>
    <w:rsid w:val="00DA622D"/>
    <w:rsid w:val="00DA6ABB"/>
    <w:rsid w:val="00DA6B13"/>
    <w:rsid w:val="00DB299D"/>
    <w:rsid w:val="00DB5CA3"/>
    <w:rsid w:val="00DC1BA0"/>
    <w:rsid w:val="00DD049E"/>
    <w:rsid w:val="00DD25B0"/>
    <w:rsid w:val="00DD2935"/>
    <w:rsid w:val="00DD3BB1"/>
    <w:rsid w:val="00DD439F"/>
    <w:rsid w:val="00DD5870"/>
    <w:rsid w:val="00DD7CDB"/>
    <w:rsid w:val="00DE2576"/>
    <w:rsid w:val="00DE2741"/>
    <w:rsid w:val="00DE603E"/>
    <w:rsid w:val="00DE6887"/>
    <w:rsid w:val="00DF4389"/>
    <w:rsid w:val="00DF4963"/>
    <w:rsid w:val="00DF64A8"/>
    <w:rsid w:val="00E039C3"/>
    <w:rsid w:val="00E03CA2"/>
    <w:rsid w:val="00E06B4B"/>
    <w:rsid w:val="00E104AC"/>
    <w:rsid w:val="00E11F66"/>
    <w:rsid w:val="00E26040"/>
    <w:rsid w:val="00E26E5A"/>
    <w:rsid w:val="00E34523"/>
    <w:rsid w:val="00E436BA"/>
    <w:rsid w:val="00E626B4"/>
    <w:rsid w:val="00E63534"/>
    <w:rsid w:val="00E63F10"/>
    <w:rsid w:val="00E662A5"/>
    <w:rsid w:val="00E672A4"/>
    <w:rsid w:val="00E72787"/>
    <w:rsid w:val="00E762D3"/>
    <w:rsid w:val="00E8236C"/>
    <w:rsid w:val="00E82681"/>
    <w:rsid w:val="00E83E23"/>
    <w:rsid w:val="00E9254C"/>
    <w:rsid w:val="00E97EAF"/>
    <w:rsid w:val="00EA3F2D"/>
    <w:rsid w:val="00EA5BA3"/>
    <w:rsid w:val="00EB09F9"/>
    <w:rsid w:val="00EC6981"/>
    <w:rsid w:val="00ED1116"/>
    <w:rsid w:val="00ED61C5"/>
    <w:rsid w:val="00ED74DF"/>
    <w:rsid w:val="00EE0EB6"/>
    <w:rsid w:val="00EE6701"/>
    <w:rsid w:val="00EF4895"/>
    <w:rsid w:val="00F00E85"/>
    <w:rsid w:val="00F01DF1"/>
    <w:rsid w:val="00F0448E"/>
    <w:rsid w:val="00F05546"/>
    <w:rsid w:val="00F06B7F"/>
    <w:rsid w:val="00F06D21"/>
    <w:rsid w:val="00F12951"/>
    <w:rsid w:val="00F2050A"/>
    <w:rsid w:val="00F20CE7"/>
    <w:rsid w:val="00F21502"/>
    <w:rsid w:val="00F2160B"/>
    <w:rsid w:val="00F30386"/>
    <w:rsid w:val="00F30739"/>
    <w:rsid w:val="00F3212F"/>
    <w:rsid w:val="00F357C3"/>
    <w:rsid w:val="00F36955"/>
    <w:rsid w:val="00F36D0A"/>
    <w:rsid w:val="00F43D32"/>
    <w:rsid w:val="00F50A15"/>
    <w:rsid w:val="00F55EB0"/>
    <w:rsid w:val="00F63206"/>
    <w:rsid w:val="00F65213"/>
    <w:rsid w:val="00F7286E"/>
    <w:rsid w:val="00F75DB7"/>
    <w:rsid w:val="00F83D3C"/>
    <w:rsid w:val="00F94D6E"/>
    <w:rsid w:val="00F94F11"/>
    <w:rsid w:val="00F970CB"/>
    <w:rsid w:val="00F97329"/>
    <w:rsid w:val="00FB5057"/>
    <w:rsid w:val="00FB6BAD"/>
    <w:rsid w:val="00FC1A9E"/>
    <w:rsid w:val="00FC7FC3"/>
    <w:rsid w:val="00FD6FA8"/>
    <w:rsid w:val="00FE1AAC"/>
    <w:rsid w:val="00FE34E6"/>
    <w:rsid w:val="00FE7315"/>
    <w:rsid w:val="00FF041E"/>
    <w:rsid w:val="00FF1F1C"/>
    <w:rsid w:val="00FF3A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A7B22"/>
  <w15:docId w15:val="{6DE07196-FA79-4C54-A9CC-489A3416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75"/>
    <w:pPr>
      <w:spacing w:after="120" w:line="240" w:lineRule="auto"/>
      <w:jc w:val="both"/>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2E154D"/>
    <w:pPr>
      <w:spacing w:after="360"/>
      <w:jc w:val="center"/>
      <w:outlineLvl w:val="0"/>
    </w:pPr>
    <w:rPr>
      <w:rFonts w:eastAsiaTheme="majorEastAsia" w:cstheme="majorBidi"/>
      <w:b/>
      <w:bCs/>
      <w:sz w:val="32"/>
      <w:szCs w:val="28"/>
      <w:lang w:bidi="ar-SA"/>
    </w:rPr>
  </w:style>
  <w:style w:type="paragraph" w:styleId="Heading2">
    <w:name w:val="heading 2"/>
    <w:basedOn w:val="Normal"/>
    <w:next w:val="Normal"/>
    <w:link w:val="Heading2Char"/>
    <w:uiPriority w:val="9"/>
    <w:unhideWhenUsed/>
    <w:qFormat/>
    <w:rsid w:val="007D2B0C"/>
    <w:pPr>
      <w:spacing w:before="240" w:after="720"/>
      <w:jc w:val="center"/>
      <w:outlineLvl w:val="1"/>
    </w:pPr>
    <w:rPr>
      <w:rFonts w:asciiTheme="majorHAnsi" w:eastAsiaTheme="majorEastAsia" w:hAnsiTheme="majorHAnsi" w:cstheme="majorBidi"/>
      <w:b/>
      <w:bCs/>
      <w:szCs w:val="26"/>
      <w:lang w:bidi="ar-SA"/>
    </w:rPr>
  </w:style>
  <w:style w:type="paragraph" w:styleId="Heading3">
    <w:name w:val="heading 3"/>
    <w:basedOn w:val="Normal"/>
    <w:next w:val="Normal"/>
    <w:link w:val="Heading3Char"/>
    <w:uiPriority w:val="9"/>
    <w:unhideWhenUsed/>
    <w:qFormat/>
    <w:rsid w:val="007D2B0C"/>
    <w:pPr>
      <w:jc w:val="center"/>
      <w:outlineLvl w:val="2"/>
    </w:pPr>
    <w:rPr>
      <w:rFonts w:eastAsiaTheme="majorEastAsia" w:cstheme="majorBidi"/>
      <w:b/>
      <w:bCs/>
      <w:sz w:val="26"/>
      <w:lang w:bidi="ar-SA"/>
    </w:rPr>
  </w:style>
  <w:style w:type="paragraph" w:styleId="Heading4">
    <w:name w:val="heading 4"/>
    <w:basedOn w:val="Normal"/>
    <w:next w:val="Normal"/>
    <w:link w:val="Heading4Char"/>
    <w:uiPriority w:val="9"/>
    <w:unhideWhenUsed/>
    <w:rsid w:val="006C1599"/>
    <w:pPr>
      <w:numPr>
        <w:ilvl w:val="3"/>
        <w:numId w:val="4"/>
      </w:numPr>
      <w:spacing w:before="240"/>
      <w:outlineLvl w:val="3"/>
    </w:pPr>
    <w:rPr>
      <w:rFonts w:asciiTheme="majorHAnsi" w:eastAsiaTheme="majorEastAsia" w:hAnsiTheme="majorHAnsi" w:cstheme="majorBidi"/>
      <w:bCs/>
      <w:iCs/>
      <w:lang w:bidi="ar-SA"/>
    </w:rPr>
  </w:style>
  <w:style w:type="paragraph" w:styleId="Heading5">
    <w:name w:val="heading 5"/>
    <w:basedOn w:val="Normal"/>
    <w:next w:val="Normal"/>
    <w:link w:val="Heading5Char"/>
    <w:uiPriority w:val="9"/>
    <w:unhideWhenUsed/>
    <w:rsid w:val="006C1599"/>
    <w:pPr>
      <w:numPr>
        <w:ilvl w:val="4"/>
        <w:numId w:val="4"/>
      </w:numPr>
      <w:spacing w:before="240"/>
      <w:outlineLvl w:val="4"/>
    </w:pPr>
    <w:rPr>
      <w:rFonts w:asciiTheme="majorHAnsi" w:eastAsiaTheme="majorEastAsia" w:hAnsiTheme="majorHAnsi" w:cstheme="majorBidi"/>
      <w:bCs/>
      <w:lang w:bidi="ar-SA"/>
    </w:rPr>
  </w:style>
  <w:style w:type="paragraph" w:styleId="Heading6">
    <w:name w:val="heading 6"/>
    <w:basedOn w:val="Normal"/>
    <w:next w:val="Normal"/>
    <w:link w:val="Heading6Char"/>
    <w:uiPriority w:val="9"/>
    <w:unhideWhenUsed/>
    <w:rsid w:val="006C1599"/>
    <w:pPr>
      <w:numPr>
        <w:ilvl w:val="5"/>
        <w:numId w:val="4"/>
      </w:numPr>
      <w:spacing w:before="240"/>
      <w:outlineLvl w:val="5"/>
    </w:pPr>
    <w:rPr>
      <w:rFonts w:asciiTheme="majorHAnsi" w:eastAsiaTheme="majorEastAsia" w:hAnsiTheme="majorHAnsi" w:cstheme="majorBidi"/>
      <w:bCs/>
      <w:iCs/>
      <w:lang w:bidi="ar-SA"/>
    </w:rPr>
  </w:style>
  <w:style w:type="paragraph" w:styleId="Heading7">
    <w:name w:val="heading 7"/>
    <w:basedOn w:val="Normal"/>
    <w:next w:val="Normal"/>
    <w:link w:val="Heading7Char"/>
    <w:uiPriority w:val="9"/>
    <w:unhideWhenUsed/>
    <w:rsid w:val="006C1599"/>
    <w:pPr>
      <w:numPr>
        <w:ilvl w:val="6"/>
        <w:numId w:val="4"/>
      </w:numPr>
      <w:spacing w:before="240"/>
      <w:outlineLvl w:val="6"/>
    </w:pPr>
    <w:rPr>
      <w:rFonts w:asciiTheme="majorHAnsi" w:eastAsiaTheme="majorEastAsia" w:hAnsiTheme="majorHAnsi" w:cstheme="majorBidi"/>
      <w:iCs/>
      <w:lang w:bidi="ar-SA"/>
    </w:rPr>
  </w:style>
  <w:style w:type="paragraph" w:styleId="Heading8">
    <w:name w:val="heading 8"/>
    <w:basedOn w:val="Normal"/>
    <w:next w:val="Normal"/>
    <w:link w:val="Heading8Char"/>
    <w:uiPriority w:val="9"/>
    <w:unhideWhenUsed/>
    <w:rsid w:val="006C1599"/>
    <w:pPr>
      <w:numPr>
        <w:ilvl w:val="7"/>
        <w:numId w:val="4"/>
      </w:numPr>
      <w:spacing w:before="240"/>
      <w:outlineLvl w:val="7"/>
    </w:pPr>
    <w:rPr>
      <w:rFonts w:asciiTheme="majorHAnsi" w:eastAsiaTheme="majorEastAsia" w:hAnsiTheme="majorHAnsi" w:cstheme="majorBidi"/>
      <w:szCs w:val="20"/>
      <w:lang w:bidi="ar-SA"/>
    </w:rPr>
  </w:style>
  <w:style w:type="paragraph" w:styleId="Heading9">
    <w:name w:val="heading 9"/>
    <w:basedOn w:val="Normal"/>
    <w:next w:val="Normal"/>
    <w:link w:val="Heading9Char"/>
    <w:uiPriority w:val="9"/>
    <w:semiHidden/>
    <w:unhideWhenUsed/>
    <w:rsid w:val="006C1599"/>
    <w:pPr>
      <w:numPr>
        <w:ilvl w:val="8"/>
        <w:numId w:val="2"/>
      </w:numPr>
      <w:spacing w:before="240"/>
      <w:ind w:left="1814" w:hanging="1814"/>
      <w:outlineLvl w:val="8"/>
    </w:pPr>
    <w:rPr>
      <w:rFonts w:asciiTheme="majorHAnsi" w:eastAsiaTheme="majorEastAsia" w:hAnsiTheme="majorHAnsi" w:cstheme="majorBidi"/>
      <w:iCs/>
      <w:spacing w:val="5"/>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BSMultilevelBullets1">
    <w:name w:val="SBS_Multilevel_Bullets_1"/>
    <w:basedOn w:val="NoList"/>
    <w:uiPriority w:val="99"/>
    <w:rsid w:val="00014F77"/>
    <w:pPr>
      <w:numPr>
        <w:numId w:val="1"/>
      </w:numPr>
    </w:pPr>
  </w:style>
  <w:style w:type="character" w:customStyle="1" w:styleId="Heading1Char">
    <w:name w:val="Heading 1 Char"/>
    <w:basedOn w:val="DefaultParagraphFont"/>
    <w:link w:val="Heading1"/>
    <w:uiPriority w:val="9"/>
    <w:rsid w:val="002E154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7D2B0C"/>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7D2B0C"/>
    <w:rPr>
      <w:rFonts w:ascii="Times New Roman" w:eastAsiaTheme="majorEastAsia" w:hAnsi="Times New Roman" w:cstheme="majorBidi"/>
      <w:b/>
      <w:bCs/>
      <w:sz w:val="26"/>
    </w:rPr>
  </w:style>
  <w:style w:type="character" w:customStyle="1" w:styleId="Heading4Char">
    <w:name w:val="Heading 4 Char"/>
    <w:basedOn w:val="DefaultParagraphFont"/>
    <w:link w:val="Heading4"/>
    <w:uiPriority w:val="9"/>
    <w:rsid w:val="006C1599"/>
    <w:rPr>
      <w:rFonts w:asciiTheme="majorHAnsi" w:eastAsiaTheme="majorEastAsia" w:hAnsiTheme="majorHAnsi" w:cstheme="majorBidi"/>
      <w:bCs/>
      <w:iCs/>
      <w:sz w:val="24"/>
    </w:rPr>
  </w:style>
  <w:style w:type="character" w:customStyle="1" w:styleId="Heading5Char">
    <w:name w:val="Heading 5 Char"/>
    <w:basedOn w:val="DefaultParagraphFont"/>
    <w:link w:val="Heading5"/>
    <w:uiPriority w:val="9"/>
    <w:rsid w:val="006C1599"/>
    <w:rPr>
      <w:rFonts w:asciiTheme="majorHAnsi" w:eastAsiaTheme="majorEastAsia" w:hAnsiTheme="majorHAnsi" w:cstheme="majorBidi"/>
      <w:bCs/>
      <w:sz w:val="24"/>
    </w:rPr>
  </w:style>
  <w:style w:type="numbering" w:customStyle="1" w:styleId="SBSMultilevelList1">
    <w:name w:val="SBS_Multilevel_List_1"/>
    <w:basedOn w:val="NoList"/>
    <w:uiPriority w:val="99"/>
    <w:rsid w:val="00B84498"/>
    <w:pPr>
      <w:numPr>
        <w:numId w:val="2"/>
      </w:numPr>
    </w:pPr>
  </w:style>
  <w:style w:type="numbering" w:customStyle="1" w:styleId="SBSMultilevelList2">
    <w:name w:val="SBS_Multilevel_List_2"/>
    <w:basedOn w:val="NoList"/>
    <w:uiPriority w:val="99"/>
    <w:rsid w:val="009515A7"/>
    <w:pPr>
      <w:numPr>
        <w:numId w:val="3"/>
      </w:numPr>
    </w:pPr>
  </w:style>
  <w:style w:type="character" w:customStyle="1" w:styleId="Heading6Char">
    <w:name w:val="Heading 6 Char"/>
    <w:basedOn w:val="DefaultParagraphFont"/>
    <w:link w:val="Heading6"/>
    <w:uiPriority w:val="9"/>
    <w:rsid w:val="006C1599"/>
    <w:rPr>
      <w:rFonts w:asciiTheme="majorHAnsi" w:eastAsiaTheme="majorEastAsia" w:hAnsiTheme="majorHAnsi" w:cstheme="majorBidi"/>
      <w:bCs/>
      <w:iCs/>
      <w:sz w:val="24"/>
    </w:rPr>
  </w:style>
  <w:style w:type="character" w:customStyle="1" w:styleId="Heading7Char">
    <w:name w:val="Heading 7 Char"/>
    <w:basedOn w:val="DefaultParagraphFont"/>
    <w:link w:val="Heading7"/>
    <w:uiPriority w:val="9"/>
    <w:rsid w:val="006C1599"/>
    <w:rPr>
      <w:rFonts w:asciiTheme="majorHAnsi" w:eastAsiaTheme="majorEastAsia" w:hAnsiTheme="majorHAnsi" w:cstheme="majorBidi"/>
      <w:iCs/>
      <w:sz w:val="24"/>
    </w:rPr>
  </w:style>
  <w:style w:type="character" w:customStyle="1" w:styleId="Heading8Char">
    <w:name w:val="Heading 8 Char"/>
    <w:basedOn w:val="DefaultParagraphFont"/>
    <w:link w:val="Heading8"/>
    <w:uiPriority w:val="9"/>
    <w:rsid w:val="006C1599"/>
    <w:rPr>
      <w:rFonts w:asciiTheme="majorHAnsi" w:eastAsiaTheme="majorEastAsia" w:hAnsiTheme="majorHAnsi" w:cstheme="majorBidi"/>
      <w:sz w:val="24"/>
      <w:szCs w:val="20"/>
    </w:rPr>
  </w:style>
  <w:style w:type="character" w:customStyle="1" w:styleId="Heading9Char">
    <w:name w:val="Heading 9 Char"/>
    <w:basedOn w:val="DefaultParagraphFont"/>
    <w:link w:val="Heading9"/>
    <w:uiPriority w:val="9"/>
    <w:semiHidden/>
    <w:rsid w:val="006C1599"/>
    <w:rPr>
      <w:rFonts w:asciiTheme="majorHAnsi" w:eastAsiaTheme="majorEastAsia" w:hAnsiTheme="majorHAnsi" w:cstheme="majorBidi"/>
      <w:iCs/>
      <w:spacing w:val="5"/>
      <w:sz w:val="24"/>
      <w:szCs w:val="20"/>
    </w:rPr>
  </w:style>
  <w:style w:type="paragraph" w:styleId="Title">
    <w:name w:val="Title"/>
    <w:basedOn w:val="Normal"/>
    <w:next w:val="Normal"/>
    <w:link w:val="TitleChar"/>
    <w:uiPriority w:val="10"/>
    <w:rsid w:val="006C1599"/>
    <w:pPr>
      <w:pBdr>
        <w:bottom w:val="single" w:sz="4" w:space="1" w:color="auto"/>
      </w:pBdr>
      <w:spacing w:after="480"/>
      <w:jc w:val="center"/>
    </w:pPr>
    <w:rPr>
      <w:rFonts w:asciiTheme="majorHAnsi" w:eastAsiaTheme="majorEastAsia" w:hAnsiTheme="majorHAnsi" w:cstheme="majorBidi"/>
      <w:spacing w:val="5"/>
      <w:sz w:val="48"/>
      <w:szCs w:val="52"/>
      <w:lang w:bidi="ar-SA"/>
    </w:rPr>
  </w:style>
  <w:style w:type="character" w:customStyle="1" w:styleId="TitleChar">
    <w:name w:val="Title Char"/>
    <w:basedOn w:val="DefaultParagraphFont"/>
    <w:link w:val="Title"/>
    <w:uiPriority w:val="10"/>
    <w:rsid w:val="006C1599"/>
    <w:rPr>
      <w:rFonts w:asciiTheme="majorHAnsi" w:eastAsiaTheme="majorEastAsia" w:hAnsiTheme="majorHAnsi" w:cstheme="majorBidi"/>
      <w:spacing w:val="5"/>
      <w:sz w:val="48"/>
      <w:szCs w:val="52"/>
    </w:rPr>
  </w:style>
  <w:style w:type="paragraph" w:styleId="Subtitle">
    <w:name w:val="Subtitle"/>
    <w:basedOn w:val="Normal"/>
    <w:next w:val="Normal"/>
    <w:link w:val="SubtitleChar"/>
    <w:uiPriority w:val="11"/>
    <w:rsid w:val="006C1599"/>
    <w:pPr>
      <w:spacing w:after="360"/>
      <w:jc w:val="center"/>
    </w:pPr>
    <w:rPr>
      <w:rFonts w:asciiTheme="majorHAnsi" w:eastAsiaTheme="majorEastAsia" w:hAnsiTheme="majorHAnsi" w:cstheme="majorBidi"/>
      <w:i/>
      <w:iCs/>
      <w:spacing w:val="13"/>
      <w:sz w:val="36"/>
      <w:szCs w:val="24"/>
      <w:lang w:bidi="ar-SA"/>
    </w:rPr>
  </w:style>
  <w:style w:type="character" w:customStyle="1" w:styleId="SubtitleChar">
    <w:name w:val="Subtitle Char"/>
    <w:basedOn w:val="DefaultParagraphFont"/>
    <w:link w:val="Subtitle"/>
    <w:uiPriority w:val="11"/>
    <w:rsid w:val="006C1599"/>
    <w:rPr>
      <w:rFonts w:asciiTheme="majorHAnsi" w:eastAsiaTheme="majorEastAsia" w:hAnsiTheme="majorHAnsi" w:cstheme="majorBidi"/>
      <w:i/>
      <w:iCs/>
      <w:spacing w:val="13"/>
      <w:sz w:val="36"/>
      <w:szCs w:val="24"/>
    </w:rPr>
  </w:style>
  <w:style w:type="character" w:styleId="Strong">
    <w:name w:val="Strong"/>
    <w:uiPriority w:val="22"/>
    <w:qFormat/>
    <w:rsid w:val="006C1599"/>
    <w:rPr>
      <w:b/>
      <w:bCs/>
    </w:rPr>
  </w:style>
  <w:style w:type="character" w:styleId="Emphasis">
    <w:name w:val="Emphasis"/>
    <w:uiPriority w:val="20"/>
    <w:rsid w:val="006C1599"/>
    <w:rPr>
      <w:b/>
      <w:bCs/>
      <w:i/>
      <w:iCs/>
      <w:spacing w:val="10"/>
      <w:bdr w:val="none" w:sz="0" w:space="0" w:color="auto"/>
      <w:shd w:val="clear" w:color="auto" w:fill="auto"/>
    </w:rPr>
  </w:style>
  <w:style w:type="paragraph" w:styleId="NoSpacing">
    <w:name w:val="No Spacing"/>
    <w:basedOn w:val="Normal"/>
    <w:uiPriority w:val="1"/>
    <w:qFormat/>
    <w:rsid w:val="006C1599"/>
    <w:pPr>
      <w:spacing w:after="0"/>
    </w:pPr>
    <w:rPr>
      <w:rFonts w:asciiTheme="minorHAnsi" w:eastAsiaTheme="minorHAnsi" w:hAnsiTheme="minorHAnsi"/>
      <w:lang w:bidi="ar-SA"/>
    </w:rPr>
  </w:style>
  <w:style w:type="paragraph" w:styleId="ListParagraph">
    <w:name w:val="List Paragraph"/>
    <w:basedOn w:val="Normal"/>
    <w:uiPriority w:val="34"/>
    <w:qFormat/>
    <w:rsid w:val="006C1599"/>
    <w:pPr>
      <w:ind w:left="720"/>
      <w:contextualSpacing/>
    </w:pPr>
    <w:rPr>
      <w:rFonts w:asciiTheme="minorHAnsi" w:eastAsiaTheme="minorHAnsi" w:hAnsiTheme="minorHAnsi"/>
      <w:lang w:bidi="ar-SA"/>
    </w:rPr>
  </w:style>
  <w:style w:type="character" w:styleId="SubtleEmphasis">
    <w:name w:val="Subtle Emphasis"/>
    <w:uiPriority w:val="19"/>
    <w:rsid w:val="006C1599"/>
    <w:rPr>
      <w:i/>
      <w:iCs/>
    </w:rPr>
  </w:style>
  <w:style w:type="character" w:styleId="IntenseEmphasis">
    <w:name w:val="Intense Emphasis"/>
    <w:uiPriority w:val="21"/>
    <w:rsid w:val="006C1599"/>
    <w:rPr>
      <w:b/>
      <w:bCs/>
    </w:rPr>
  </w:style>
  <w:style w:type="character" w:styleId="SubtleReference">
    <w:name w:val="Subtle Reference"/>
    <w:uiPriority w:val="31"/>
    <w:rsid w:val="006C1599"/>
    <w:rPr>
      <w:smallCaps/>
    </w:rPr>
  </w:style>
  <w:style w:type="character" w:styleId="IntenseReference">
    <w:name w:val="Intense Reference"/>
    <w:uiPriority w:val="32"/>
    <w:rsid w:val="006C1599"/>
    <w:rPr>
      <w:smallCaps/>
      <w:spacing w:val="5"/>
      <w:u w:val="single"/>
    </w:rPr>
  </w:style>
  <w:style w:type="character" w:styleId="BookTitle">
    <w:name w:val="Book Title"/>
    <w:uiPriority w:val="33"/>
    <w:rsid w:val="006C1599"/>
    <w:rPr>
      <w:i/>
      <w:iCs/>
      <w:smallCaps/>
      <w:spacing w:val="5"/>
    </w:rPr>
  </w:style>
  <w:style w:type="paragraph" w:styleId="TOCHeading">
    <w:name w:val="TOC Heading"/>
    <w:basedOn w:val="Heading1"/>
    <w:next w:val="Normal"/>
    <w:uiPriority w:val="39"/>
    <w:semiHidden/>
    <w:unhideWhenUsed/>
    <w:qFormat/>
    <w:rsid w:val="006C1599"/>
    <w:pPr>
      <w:outlineLvl w:val="9"/>
    </w:pPr>
    <w:rPr>
      <w:lang w:bidi="en-US"/>
    </w:rPr>
  </w:style>
  <w:style w:type="paragraph" w:styleId="BodyText">
    <w:name w:val="Body Text"/>
    <w:basedOn w:val="Normal"/>
    <w:link w:val="BodyTextChar"/>
    <w:semiHidden/>
    <w:rsid w:val="00B737C3"/>
    <w:pPr>
      <w:spacing w:before="113" w:after="113"/>
    </w:pPr>
    <w:rPr>
      <w:sz w:val="22"/>
    </w:rPr>
  </w:style>
  <w:style w:type="character" w:customStyle="1" w:styleId="BodyTextChar">
    <w:name w:val="Body Text Char"/>
    <w:basedOn w:val="DefaultParagraphFont"/>
    <w:link w:val="BodyText"/>
    <w:semiHidden/>
    <w:rsid w:val="00B737C3"/>
    <w:rPr>
      <w:rFonts w:ascii="Palatino Linotype" w:eastAsiaTheme="minorEastAsia" w:hAnsi="Palatino Linotype"/>
      <w:lang w:bidi="en-US"/>
    </w:rPr>
  </w:style>
  <w:style w:type="paragraph" w:styleId="Footer">
    <w:name w:val="footer"/>
    <w:basedOn w:val="Normal"/>
    <w:link w:val="FooterChar"/>
    <w:uiPriority w:val="99"/>
    <w:qFormat/>
    <w:rsid w:val="006F19B3"/>
    <w:pPr>
      <w:suppressLineNumbers/>
      <w:spacing w:after="0"/>
    </w:pPr>
    <w:rPr>
      <w:sz w:val="20"/>
    </w:rPr>
  </w:style>
  <w:style w:type="character" w:customStyle="1" w:styleId="FooterChar">
    <w:name w:val="Footer Char"/>
    <w:basedOn w:val="DefaultParagraphFont"/>
    <w:link w:val="Footer"/>
    <w:uiPriority w:val="99"/>
    <w:rsid w:val="006F19B3"/>
    <w:rPr>
      <w:rFonts w:ascii="Times New Roman" w:eastAsiaTheme="minorEastAsia" w:hAnsi="Times New Roman"/>
      <w:sz w:val="20"/>
      <w:lang w:bidi="en-US"/>
    </w:rPr>
  </w:style>
  <w:style w:type="paragraph" w:styleId="Header">
    <w:name w:val="header"/>
    <w:basedOn w:val="Normal"/>
    <w:next w:val="Normal"/>
    <w:link w:val="HeaderChar"/>
    <w:semiHidden/>
    <w:qFormat/>
    <w:rsid w:val="006F19B3"/>
    <w:pPr>
      <w:spacing w:after="0"/>
    </w:pPr>
    <w:rPr>
      <w:sz w:val="20"/>
    </w:rPr>
  </w:style>
  <w:style w:type="character" w:customStyle="1" w:styleId="HeaderChar">
    <w:name w:val="Header Char"/>
    <w:basedOn w:val="DefaultParagraphFont"/>
    <w:link w:val="Header"/>
    <w:semiHidden/>
    <w:rsid w:val="006F19B3"/>
    <w:rPr>
      <w:rFonts w:ascii="Times New Roman" w:eastAsiaTheme="minorEastAsia" w:hAnsi="Times New Roman"/>
      <w:sz w:val="20"/>
      <w:lang w:bidi="en-US"/>
    </w:rPr>
  </w:style>
  <w:style w:type="paragraph" w:styleId="BalloonText">
    <w:name w:val="Balloon Text"/>
    <w:basedOn w:val="Normal"/>
    <w:link w:val="BalloonTextChar"/>
    <w:uiPriority w:val="99"/>
    <w:semiHidden/>
    <w:unhideWhenUsed/>
    <w:rsid w:val="003F7D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D80"/>
    <w:rPr>
      <w:rFonts w:ascii="Tahoma" w:eastAsiaTheme="minorEastAsia" w:hAnsi="Tahoma" w:cs="Tahoma"/>
      <w:sz w:val="16"/>
      <w:szCs w:val="16"/>
      <w:lang w:bidi="en-US"/>
    </w:rPr>
  </w:style>
  <w:style w:type="character" w:styleId="Hyperlink">
    <w:name w:val="Hyperlink"/>
    <w:basedOn w:val="DefaultParagraphFont"/>
    <w:semiHidden/>
    <w:rsid w:val="00DA6ABB"/>
    <w:rPr>
      <w:color w:val="0000FF"/>
      <w:u w:val="single"/>
    </w:rPr>
  </w:style>
  <w:style w:type="character" w:styleId="PlaceholderText">
    <w:name w:val="Placeholder Text"/>
    <w:basedOn w:val="DefaultParagraphFont"/>
    <w:uiPriority w:val="99"/>
    <w:semiHidden/>
    <w:rsid w:val="002E10F2"/>
    <w:rPr>
      <w:color w:val="808080"/>
    </w:rPr>
  </w:style>
  <w:style w:type="table" w:styleId="TableGrid">
    <w:name w:val="Table Grid"/>
    <w:basedOn w:val="TableNormal"/>
    <w:uiPriority w:val="59"/>
    <w:rsid w:val="0028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mporteerdestijl1">
    <w:name w:val="Geïmporteerde stijl 1"/>
    <w:rsid w:val="00E662A5"/>
    <w:pPr>
      <w:numPr>
        <w:numId w:val="5"/>
      </w:numPr>
    </w:pPr>
  </w:style>
  <w:style w:type="paragraph" w:customStyle="1" w:styleId="p3">
    <w:name w:val="p3"/>
    <w:basedOn w:val="Normal"/>
    <w:rsid w:val="00AD5F62"/>
    <w:pPr>
      <w:spacing w:after="0"/>
      <w:jc w:val="left"/>
    </w:pPr>
    <w:rPr>
      <w:rFonts w:ascii=".SF UI Text" w:eastAsia="Times New Roman" w:hAnsi=".SF UI Text" w:cs="Times New Roman"/>
      <w:color w:val="454545"/>
      <w:sz w:val="26"/>
      <w:szCs w:val="26"/>
      <w:lang w:val="en-GB" w:eastAsia="en-GB" w:bidi="ar-SA"/>
    </w:rPr>
  </w:style>
  <w:style w:type="character" w:customStyle="1" w:styleId="s2">
    <w:name w:val="s2"/>
    <w:rsid w:val="00AD5F62"/>
    <w:rPr>
      <w:rFonts w:ascii=".SFUIText-Regular" w:hAnsi=".SFUIText-Regular" w:hint="default"/>
      <w:b w:val="0"/>
      <w:bCs w:val="0"/>
      <w:i w:val="0"/>
      <w:iCs w:val="0"/>
      <w:sz w:val="34"/>
      <w:szCs w:val="34"/>
    </w:rPr>
  </w:style>
  <w:style w:type="character" w:customStyle="1" w:styleId="s3">
    <w:name w:val="s3"/>
    <w:rsid w:val="00AD5F62"/>
    <w:rPr>
      <w:rFonts w:ascii=".SFUIText-Italic" w:hAnsi=".SFUIText-Italic" w:hint="default"/>
      <w:b w:val="0"/>
      <w:bCs w:val="0"/>
      <w:i/>
      <w:iCs/>
      <w:sz w:val="34"/>
      <w:szCs w:val="34"/>
    </w:rPr>
  </w:style>
  <w:style w:type="paragraph" w:customStyle="1" w:styleId="p2">
    <w:name w:val="p2"/>
    <w:basedOn w:val="Normal"/>
    <w:rsid w:val="00947FFD"/>
    <w:pPr>
      <w:spacing w:after="0"/>
      <w:jc w:val="left"/>
    </w:pPr>
    <w:rPr>
      <w:rFonts w:ascii=".SF UI Text" w:hAnsi=".SF UI Text" w:cs="Times New Roman"/>
      <w:color w:val="454545"/>
      <w:sz w:val="26"/>
      <w:szCs w:val="26"/>
      <w:lang w:val="en-GB" w:eastAsia="en-GB" w:bidi="ar-SA"/>
    </w:rPr>
  </w:style>
  <w:style w:type="paragraph" w:styleId="Revision">
    <w:name w:val="Revision"/>
    <w:hidden/>
    <w:uiPriority w:val="99"/>
    <w:semiHidden/>
    <w:rsid w:val="00D94B59"/>
    <w:pPr>
      <w:spacing w:after="0" w:line="240" w:lineRule="auto"/>
    </w:pPr>
    <w:rPr>
      <w:rFonts w:ascii="Times New Roman" w:eastAsiaTheme="minorEastAsia" w:hAnsi="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01">
      <w:bodyDiv w:val="1"/>
      <w:marLeft w:val="0"/>
      <w:marRight w:val="0"/>
      <w:marTop w:val="0"/>
      <w:marBottom w:val="0"/>
      <w:divBdr>
        <w:top w:val="none" w:sz="0" w:space="0" w:color="auto"/>
        <w:left w:val="none" w:sz="0" w:space="0" w:color="auto"/>
        <w:bottom w:val="none" w:sz="0" w:space="0" w:color="auto"/>
        <w:right w:val="none" w:sz="0" w:space="0" w:color="auto"/>
      </w:divBdr>
      <w:divsChild>
        <w:div w:id="678626734">
          <w:marLeft w:val="0"/>
          <w:marRight w:val="0"/>
          <w:marTop w:val="0"/>
          <w:marBottom w:val="0"/>
          <w:divBdr>
            <w:top w:val="none" w:sz="0" w:space="0" w:color="auto"/>
            <w:left w:val="none" w:sz="0" w:space="0" w:color="auto"/>
            <w:bottom w:val="none" w:sz="0" w:space="0" w:color="auto"/>
            <w:right w:val="none" w:sz="0" w:space="0" w:color="auto"/>
          </w:divBdr>
        </w:div>
      </w:divsChild>
    </w:div>
    <w:div w:id="92559368">
      <w:bodyDiv w:val="1"/>
      <w:marLeft w:val="0"/>
      <w:marRight w:val="0"/>
      <w:marTop w:val="0"/>
      <w:marBottom w:val="0"/>
      <w:divBdr>
        <w:top w:val="none" w:sz="0" w:space="0" w:color="auto"/>
        <w:left w:val="none" w:sz="0" w:space="0" w:color="auto"/>
        <w:bottom w:val="none" w:sz="0" w:space="0" w:color="auto"/>
        <w:right w:val="none" w:sz="0" w:space="0" w:color="auto"/>
      </w:divBdr>
      <w:divsChild>
        <w:div w:id="1471364514">
          <w:marLeft w:val="0"/>
          <w:marRight w:val="0"/>
          <w:marTop w:val="0"/>
          <w:marBottom w:val="0"/>
          <w:divBdr>
            <w:top w:val="none" w:sz="0" w:space="0" w:color="auto"/>
            <w:left w:val="none" w:sz="0" w:space="0" w:color="auto"/>
            <w:bottom w:val="none" w:sz="0" w:space="0" w:color="auto"/>
            <w:right w:val="none" w:sz="0" w:space="0" w:color="auto"/>
          </w:divBdr>
        </w:div>
      </w:divsChild>
    </w:div>
    <w:div w:id="137578427">
      <w:bodyDiv w:val="1"/>
      <w:marLeft w:val="0"/>
      <w:marRight w:val="0"/>
      <w:marTop w:val="0"/>
      <w:marBottom w:val="0"/>
      <w:divBdr>
        <w:top w:val="none" w:sz="0" w:space="0" w:color="auto"/>
        <w:left w:val="none" w:sz="0" w:space="0" w:color="auto"/>
        <w:bottom w:val="none" w:sz="0" w:space="0" w:color="auto"/>
        <w:right w:val="none" w:sz="0" w:space="0" w:color="auto"/>
      </w:divBdr>
    </w:div>
    <w:div w:id="265618028">
      <w:bodyDiv w:val="1"/>
      <w:marLeft w:val="0"/>
      <w:marRight w:val="0"/>
      <w:marTop w:val="0"/>
      <w:marBottom w:val="0"/>
      <w:divBdr>
        <w:top w:val="none" w:sz="0" w:space="0" w:color="auto"/>
        <w:left w:val="none" w:sz="0" w:space="0" w:color="auto"/>
        <w:bottom w:val="none" w:sz="0" w:space="0" w:color="auto"/>
        <w:right w:val="none" w:sz="0" w:space="0" w:color="auto"/>
      </w:divBdr>
    </w:div>
    <w:div w:id="296642962">
      <w:bodyDiv w:val="1"/>
      <w:marLeft w:val="0"/>
      <w:marRight w:val="0"/>
      <w:marTop w:val="0"/>
      <w:marBottom w:val="0"/>
      <w:divBdr>
        <w:top w:val="none" w:sz="0" w:space="0" w:color="auto"/>
        <w:left w:val="none" w:sz="0" w:space="0" w:color="auto"/>
        <w:bottom w:val="none" w:sz="0" w:space="0" w:color="auto"/>
        <w:right w:val="none" w:sz="0" w:space="0" w:color="auto"/>
      </w:divBdr>
      <w:divsChild>
        <w:div w:id="1568220346">
          <w:marLeft w:val="0"/>
          <w:marRight w:val="0"/>
          <w:marTop w:val="0"/>
          <w:marBottom w:val="0"/>
          <w:divBdr>
            <w:top w:val="none" w:sz="0" w:space="0" w:color="auto"/>
            <w:left w:val="none" w:sz="0" w:space="0" w:color="auto"/>
            <w:bottom w:val="none" w:sz="0" w:space="0" w:color="auto"/>
            <w:right w:val="none" w:sz="0" w:space="0" w:color="auto"/>
          </w:divBdr>
        </w:div>
      </w:divsChild>
    </w:div>
    <w:div w:id="327178130">
      <w:bodyDiv w:val="1"/>
      <w:marLeft w:val="0"/>
      <w:marRight w:val="0"/>
      <w:marTop w:val="0"/>
      <w:marBottom w:val="0"/>
      <w:divBdr>
        <w:top w:val="none" w:sz="0" w:space="0" w:color="auto"/>
        <w:left w:val="none" w:sz="0" w:space="0" w:color="auto"/>
        <w:bottom w:val="none" w:sz="0" w:space="0" w:color="auto"/>
        <w:right w:val="none" w:sz="0" w:space="0" w:color="auto"/>
      </w:divBdr>
      <w:divsChild>
        <w:div w:id="975986575">
          <w:marLeft w:val="0"/>
          <w:marRight w:val="0"/>
          <w:marTop w:val="0"/>
          <w:marBottom w:val="0"/>
          <w:divBdr>
            <w:top w:val="none" w:sz="0" w:space="0" w:color="auto"/>
            <w:left w:val="none" w:sz="0" w:space="0" w:color="auto"/>
            <w:bottom w:val="none" w:sz="0" w:space="0" w:color="auto"/>
            <w:right w:val="none" w:sz="0" w:space="0" w:color="auto"/>
          </w:divBdr>
        </w:div>
      </w:divsChild>
    </w:div>
    <w:div w:id="353845165">
      <w:bodyDiv w:val="1"/>
      <w:marLeft w:val="0"/>
      <w:marRight w:val="0"/>
      <w:marTop w:val="0"/>
      <w:marBottom w:val="0"/>
      <w:divBdr>
        <w:top w:val="none" w:sz="0" w:space="0" w:color="auto"/>
        <w:left w:val="none" w:sz="0" w:space="0" w:color="auto"/>
        <w:bottom w:val="none" w:sz="0" w:space="0" w:color="auto"/>
        <w:right w:val="none" w:sz="0" w:space="0" w:color="auto"/>
      </w:divBdr>
    </w:div>
    <w:div w:id="573858582">
      <w:bodyDiv w:val="1"/>
      <w:marLeft w:val="0"/>
      <w:marRight w:val="0"/>
      <w:marTop w:val="0"/>
      <w:marBottom w:val="0"/>
      <w:divBdr>
        <w:top w:val="none" w:sz="0" w:space="0" w:color="auto"/>
        <w:left w:val="none" w:sz="0" w:space="0" w:color="auto"/>
        <w:bottom w:val="none" w:sz="0" w:space="0" w:color="auto"/>
        <w:right w:val="none" w:sz="0" w:space="0" w:color="auto"/>
      </w:divBdr>
    </w:div>
    <w:div w:id="653459755">
      <w:bodyDiv w:val="1"/>
      <w:marLeft w:val="0"/>
      <w:marRight w:val="0"/>
      <w:marTop w:val="0"/>
      <w:marBottom w:val="0"/>
      <w:divBdr>
        <w:top w:val="none" w:sz="0" w:space="0" w:color="auto"/>
        <w:left w:val="none" w:sz="0" w:space="0" w:color="auto"/>
        <w:bottom w:val="none" w:sz="0" w:space="0" w:color="auto"/>
        <w:right w:val="none" w:sz="0" w:space="0" w:color="auto"/>
      </w:divBdr>
    </w:div>
    <w:div w:id="768505453">
      <w:bodyDiv w:val="1"/>
      <w:marLeft w:val="0"/>
      <w:marRight w:val="0"/>
      <w:marTop w:val="0"/>
      <w:marBottom w:val="0"/>
      <w:divBdr>
        <w:top w:val="none" w:sz="0" w:space="0" w:color="auto"/>
        <w:left w:val="none" w:sz="0" w:space="0" w:color="auto"/>
        <w:bottom w:val="none" w:sz="0" w:space="0" w:color="auto"/>
        <w:right w:val="none" w:sz="0" w:space="0" w:color="auto"/>
      </w:divBdr>
    </w:div>
    <w:div w:id="1053383755">
      <w:bodyDiv w:val="1"/>
      <w:marLeft w:val="0"/>
      <w:marRight w:val="0"/>
      <w:marTop w:val="0"/>
      <w:marBottom w:val="0"/>
      <w:divBdr>
        <w:top w:val="none" w:sz="0" w:space="0" w:color="auto"/>
        <w:left w:val="none" w:sz="0" w:space="0" w:color="auto"/>
        <w:bottom w:val="none" w:sz="0" w:space="0" w:color="auto"/>
        <w:right w:val="none" w:sz="0" w:space="0" w:color="auto"/>
      </w:divBdr>
    </w:div>
    <w:div w:id="1237862534">
      <w:bodyDiv w:val="1"/>
      <w:marLeft w:val="0"/>
      <w:marRight w:val="0"/>
      <w:marTop w:val="0"/>
      <w:marBottom w:val="0"/>
      <w:divBdr>
        <w:top w:val="none" w:sz="0" w:space="0" w:color="auto"/>
        <w:left w:val="none" w:sz="0" w:space="0" w:color="auto"/>
        <w:bottom w:val="none" w:sz="0" w:space="0" w:color="auto"/>
        <w:right w:val="none" w:sz="0" w:space="0" w:color="auto"/>
      </w:divBdr>
    </w:div>
    <w:div w:id="1422333745">
      <w:bodyDiv w:val="1"/>
      <w:marLeft w:val="0"/>
      <w:marRight w:val="0"/>
      <w:marTop w:val="0"/>
      <w:marBottom w:val="0"/>
      <w:divBdr>
        <w:top w:val="none" w:sz="0" w:space="0" w:color="auto"/>
        <w:left w:val="none" w:sz="0" w:space="0" w:color="auto"/>
        <w:bottom w:val="none" w:sz="0" w:space="0" w:color="auto"/>
        <w:right w:val="none" w:sz="0" w:space="0" w:color="auto"/>
      </w:divBdr>
    </w:div>
    <w:div w:id="1444495802">
      <w:bodyDiv w:val="1"/>
      <w:marLeft w:val="0"/>
      <w:marRight w:val="0"/>
      <w:marTop w:val="0"/>
      <w:marBottom w:val="0"/>
      <w:divBdr>
        <w:top w:val="none" w:sz="0" w:space="0" w:color="auto"/>
        <w:left w:val="none" w:sz="0" w:space="0" w:color="auto"/>
        <w:bottom w:val="none" w:sz="0" w:space="0" w:color="auto"/>
        <w:right w:val="none" w:sz="0" w:space="0" w:color="auto"/>
      </w:divBdr>
    </w:div>
    <w:div w:id="1599748766">
      <w:bodyDiv w:val="1"/>
      <w:marLeft w:val="0"/>
      <w:marRight w:val="0"/>
      <w:marTop w:val="0"/>
      <w:marBottom w:val="0"/>
      <w:divBdr>
        <w:top w:val="none" w:sz="0" w:space="0" w:color="auto"/>
        <w:left w:val="none" w:sz="0" w:space="0" w:color="auto"/>
        <w:bottom w:val="none" w:sz="0" w:space="0" w:color="auto"/>
        <w:right w:val="none" w:sz="0" w:space="0" w:color="auto"/>
      </w:divBdr>
    </w:div>
    <w:div w:id="1655600767">
      <w:bodyDiv w:val="1"/>
      <w:marLeft w:val="0"/>
      <w:marRight w:val="0"/>
      <w:marTop w:val="0"/>
      <w:marBottom w:val="0"/>
      <w:divBdr>
        <w:top w:val="none" w:sz="0" w:space="0" w:color="auto"/>
        <w:left w:val="none" w:sz="0" w:space="0" w:color="auto"/>
        <w:bottom w:val="none" w:sz="0" w:space="0" w:color="auto"/>
        <w:right w:val="none" w:sz="0" w:space="0" w:color="auto"/>
      </w:divBdr>
      <w:divsChild>
        <w:div w:id="530997770">
          <w:marLeft w:val="0"/>
          <w:marRight w:val="0"/>
          <w:marTop w:val="0"/>
          <w:marBottom w:val="0"/>
          <w:divBdr>
            <w:top w:val="none" w:sz="0" w:space="0" w:color="auto"/>
            <w:left w:val="none" w:sz="0" w:space="0" w:color="auto"/>
            <w:bottom w:val="none" w:sz="0" w:space="0" w:color="auto"/>
            <w:right w:val="none" w:sz="0" w:space="0" w:color="auto"/>
          </w:divBdr>
        </w:div>
        <w:div w:id="1062872950">
          <w:marLeft w:val="0"/>
          <w:marRight w:val="0"/>
          <w:marTop w:val="0"/>
          <w:marBottom w:val="0"/>
          <w:divBdr>
            <w:top w:val="none" w:sz="0" w:space="0" w:color="auto"/>
            <w:left w:val="none" w:sz="0" w:space="0" w:color="auto"/>
            <w:bottom w:val="none" w:sz="0" w:space="0" w:color="auto"/>
            <w:right w:val="none" w:sz="0" w:space="0" w:color="auto"/>
          </w:divBdr>
        </w:div>
        <w:div w:id="1660890349">
          <w:marLeft w:val="0"/>
          <w:marRight w:val="0"/>
          <w:marTop w:val="0"/>
          <w:marBottom w:val="0"/>
          <w:divBdr>
            <w:top w:val="none" w:sz="0" w:space="0" w:color="auto"/>
            <w:left w:val="none" w:sz="0" w:space="0" w:color="auto"/>
            <w:bottom w:val="none" w:sz="0" w:space="0" w:color="auto"/>
            <w:right w:val="none" w:sz="0" w:space="0" w:color="auto"/>
          </w:divBdr>
        </w:div>
        <w:div w:id="403526986">
          <w:marLeft w:val="0"/>
          <w:marRight w:val="0"/>
          <w:marTop w:val="0"/>
          <w:marBottom w:val="0"/>
          <w:divBdr>
            <w:top w:val="none" w:sz="0" w:space="0" w:color="auto"/>
            <w:left w:val="none" w:sz="0" w:space="0" w:color="auto"/>
            <w:bottom w:val="none" w:sz="0" w:space="0" w:color="auto"/>
            <w:right w:val="none" w:sz="0" w:space="0" w:color="auto"/>
          </w:divBdr>
        </w:div>
        <w:div w:id="159393502">
          <w:marLeft w:val="0"/>
          <w:marRight w:val="0"/>
          <w:marTop w:val="0"/>
          <w:marBottom w:val="0"/>
          <w:divBdr>
            <w:top w:val="none" w:sz="0" w:space="0" w:color="auto"/>
            <w:left w:val="none" w:sz="0" w:space="0" w:color="auto"/>
            <w:bottom w:val="none" w:sz="0" w:space="0" w:color="auto"/>
            <w:right w:val="none" w:sz="0" w:space="0" w:color="auto"/>
          </w:divBdr>
        </w:div>
        <w:div w:id="555972517">
          <w:marLeft w:val="0"/>
          <w:marRight w:val="0"/>
          <w:marTop w:val="0"/>
          <w:marBottom w:val="0"/>
          <w:divBdr>
            <w:top w:val="none" w:sz="0" w:space="0" w:color="auto"/>
            <w:left w:val="none" w:sz="0" w:space="0" w:color="auto"/>
            <w:bottom w:val="none" w:sz="0" w:space="0" w:color="auto"/>
            <w:right w:val="none" w:sz="0" w:space="0" w:color="auto"/>
          </w:divBdr>
        </w:div>
        <w:div w:id="628361432">
          <w:marLeft w:val="0"/>
          <w:marRight w:val="0"/>
          <w:marTop w:val="0"/>
          <w:marBottom w:val="0"/>
          <w:divBdr>
            <w:top w:val="none" w:sz="0" w:space="0" w:color="auto"/>
            <w:left w:val="none" w:sz="0" w:space="0" w:color="auto"/>
            <w:bottom w:val="none" w:sz="0" w:space="0" w:color="auto"/>
            <w:right w:val="none" w:sz="0" w:space="0" w:color="auto"/>
          </w:divBdr>
        </w:div>
        <w:div w:id="1102263410">
          <w:marLeft w:val="0"/>
          <w:marRight w:val="0"/>
          <w:marTop w:val="0"/>
          <w:marBottom w:val="0"/>
          <w:divBdr>
            <w:top w:val="none" w:sz="0" w:space="0" w:color="auto"/>
            <w:left w:val="none" w:sz="0" w:space="0" w:color="auto"/>
            <w:bottom w:val="none" w:sz="0" w:space="0" w:color="auto"/>
            <w:right w:val="none" w:sz="0" w:space="0" w:color="auto"/>
          </w:divBdr>
        </w:div>
        <w:div w:id="236867805">
          <w:marLeft w:val="0"/>
          <w:marRight w:val="0"/>
          <w:marTop w:val="0"/>
          <w:marBottom w:val="0"/>
          <w:divBdr>
            <w:top w:val="none" w:sz="0" w:space="0" w:color="auto"/>
            <w:left w:val="none" w:sz="0" w:space="0" w:color="auto"/>
            <w:bottom w:val="none" w:sz="0" w:space="0" w:color="auto"/>
            <w:right w:val="none" w:sz="0" w:space="0" w:color="auto"/>
          </w:divBdr>
        </w:div>
        <w:div w:id="1069110856">
          <w:marLeft w:val="0"/>
          <w:marRight w:val="0"/>
          <w:marTop w:val="0"/>
          <w:marBottom w:val="0"/>
          <w:divBdr>
            <w:top w:val="none" w:sz="0" w:space="0" w:color="auto"/>
            <w:left w:val="none" w:sz="0" w:space="0" w:color="auto"/>
            <w:bottom w:val="none" w:sz="0" w:space="0" w:color="auto"/>
            <w:right w:val="none" w:sz="0" w:space="0" w:color="auto"/>
          </w:divBdr>
        </w:div>
        <w:div w:id="923102597">
          <w:marLeft w:val="0"/>
          <w:marRight w:val="0"/>
          <w:marTop w:val="0"/>
          <w:marBottom w:val="0"/>
          <w:divBdr>
            <w:top w:val="none" w:sz="0" w:space="0" w:color="auto"/>
            <w:left w:val="none" w:sz="0" w:space="0" w:color="auto"/>
            <w:bottom w:val="none" w:sz="0" w:space="0" w:color="auto"/>
            <w:right w:val="none" w:sz="0" w:space="0" w:color="auto"/>
          </w:divBdr>
        </w:div>
        <w:div w:id="1011223704">
          <w:marLeft w:val="0"/>
          <w:marRight w:val="0"/>
          <w:marTop w:val="0"/>
          <w:marBottom w:val="0"/>
          <w:divBdr>
            <w:top w:val="none" w:sz="0" w:space="0" w:color="auto"/>
            <w:left w:val="none" w:sz="0" w:space="0" w:color="auto"/>
            <w:bottom w:val="none" w:sz="0" w:space="0" w:color="auto"/>
            <w:right w:val="none" w:sz="0" w:space="0" w:color="auto"/>
          </w:divBdr>
        </w:div>
        <w:div w:id="486632330">
          <w:marLeft w:val="0"/>
          <w:marRight w:val="0"/>
          <w:marTop w:val="0"/>
          <w:marBottom w:val="0"/>
          <w:divBdr>
            <w:top w:val="none" w:sz="0" w:space="0" w:color="auto"/>
            <w:left w:val="none" w:sz="0" w:space="0" w:color="auto"/>
            <w:bottom w:val="none" w:sz="0" w:space="0" w:color="auto"/>
            <w:right w:val="none" w:sz="0" w:space="0" w:color="auto"/>
          </w:divBdr>
        </w:div>
        <w:div w:id="882408089">
          <w:marLeft w:val="0"/>
          <w:marRight w:val="0"/>
          <w:marTop w:val="0"/>
          <w:marBottom w:val="0"/>
          <w:divBdr>
            <w:top w:val="none" w:sz="0" w:space="0" w:color="auto"/>
            <w:left w:val="none" w:sz="0" w:space="0" w:color="auto"/>
            <w:bottom w:val="none" w:sz="0" w:space="0" w:color="auto"/>
            <w:right w:val="none" w:sz="0" w:space="0" w:color="auto"/>
          </w:divBdr>
        </w:div>
        <w:div w:id="1614750381">
          <w:marLeft w:val="0"/>
          <w:marRight w:val="0"/>
          <w:marTop w:val="0"/>
          <w:marBottom w:val="0"/>
          <w:divBdr>
            <w:top w:val="none" w:sz="0" w:space="0" w:color="auto"/>
            <w:left w:val="none" w:sz="0" w:space="0" w:color="auto"/>
            <w:bottom w:val="none" w:sz="0" w:space="0" w:color="auto"/>
            <w:right w:val="none" w:sz="0" w:space="0" w:color="auto"/>
          </w:divBdr>
        </w:div>
      </w:divsChild>
    </w:div>
    <w:div w:id="1663895414">
      <w:bodyDiv w:val="1"/>
      <w:marLeft w:val="0"/>
      <w:marRight w:val="0"/>
      <w:marTop w:val="0"/>
      <w:marBottom w:val="0"/>
      <w:divBdr>
        <w:top w:val="none" w:sz="0" w:space="0" w:color="auto"/>
        <w:left w:val="none" w:sz="0" w:space="0" w:color="auto"/>
        <w:bottom w:val="none" w:sz="0" w:space="0" w:color="auto"/>
        <w:right w:val="none" w:sz="0" w:space="0" w:color="auto"/>
      </w:divBdr>
    </w:div>
    <w:div w:id="1745684664">
      <w:bodyDiv w:val="1"/>
      <w:marLeft w:val="0"/>
      <w:marRight w:val="0"/>
      <w:marTop w:val="0"/>
      <w:marBottom w:val="0"/>
      <w:divBdr>
        <w:top w:val="none" w:sz="0" w:space="0" w:color="auto"/>
        <w:left w:val="none" w:sz="0" w:space="0" w:color="auto"/>
        <w:bottom w:val="none" w:sz="0" w:space="0" w:color="auto"/>
        <w:right w:val="none" w:sz="0" w:space="0" w:color="auto"/>
      </w:divBdr>
    </w:div>
    <w:div w:id="17760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pplication%20Data\Microsoft\Templates\COM\Circul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BelS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6CDD4E1DAFF84EA755BEC91264F3E6" ma:contentTypeVersion="15" ma:contentTypeDescription="Een nieuw document maken." ma:contentTypeScope="" ma:versionID="fa4aeb83e5007e1a4cc26ce5bb4fa311">
  <xsd:schema xmlns:xsd="http://www.w3.org/2001/XMLSchema" xmlns:xs="http://www.w3.org/2001/XMLSchema" xmlns:p="http://schemas.microsoft.com/office/2006/metadata/properties" xmlns:ns3="cac86b97-bc08-4c9d-877e-85950e9099b2" xmlns:ns4="3f69f2b0-7fb1-455a-8cb5-4f861c835e00" targetNamespace="http://schemas.microsoft.com/office/2006/metadata/properties" ma:root="true" ma:fieldsID="fb9b54995be51a8f42689d697d36f364" ns3:_="" ns4:_="">
    <xsd:import namespace="cac86b97-bc08-4c9d-877e-85950e9099b2"/>
    <xsd:import namespace="3f69f2b0-7fb1-455a-8cb5-4f861c835e0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86b97-bc08-4c9d-877e-85950e909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69f2b0-7fb1-455a-8cb5-4f861c835e0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ac86b97-bc08-4c9d-877e-85950e9099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F07E-C811-4D19-B9C2-13FC06B73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86b97-bc08-4c9d-877e-85950e9099b2"/>
    <ds:schemaRef ds:uri="3f69f2b0-7fb1-455a-8cb5-4f861c835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5113F-CBC9-428A-AE32-15FB24EB5CAE}">
  <ds:schemaRefs>
    <ds:schemaRef ds:uri="http://schemas.microsoft.com/office/2006/documentManagement/types"/>
    <ds:schemaRef ds:uri="http://purl.org/dc/terms/"/>
    <ds:schemaRef ds:uri="http://schemas.openxmlformats.org/package/2006/metadata/core-properties"/>
    <ds:schemaRef ds:uri="http://purl.org/dc/dcmitype/"/>
    <ds:schemaRef ds:uri="3f69f2b0-7fb1-455a-8cb5-4f861c835e00"/>
    <ds:schemaRef ds:uri="http://purl.org/dc/elements/1.1/"/>
    <ds:schemaRef ds:uri="http://schemas.microsoft.com/office/2006/metadata/properties"/>
    <ds:schemaRef ds:uri="http://schemas.microsoft.com/office/infopath/2007/PartnerControls"/>
    <ds:schemaRef ds:uri="cac86b97-bc08-4c9d-877e-85950e9099b2"/>
    <ds:schemaRef ds:uri="http://www.w3.org/XML/1998/namespace"/>
  </ds:schemaRefs>
</ds:datastoreItem>
</file>

<file path=customXml/itemProps3.xml><?xml version="1.0" encoding="utf-8"?>
<ds:datastoreItem xmlns:ds="http://schemas.openxmlformats.org/officeDocument/2006/customXml" ds:itemID="{07256276-7CFA-43BE-9B70-F1D0B96FA2C8}">
  <ds:schemaRefs>
    <ds:schemaRef ds:uri="http://schemas.microsoft.com/sharepoint/v3/contenttype/forms"/>
  </ds:schemaRefs>
</ds:datastoreItem>
</file>

<file path=customXml/itemProps4.xml><?xml version="1.0" encoding="utf-8"?>
<ds:datastoreItem xmlns:ds="http://schemas.openxmlformats.org/officeDocument/2006/customXml" ds:itemID="{04786416-DC2D-4876-BBD1-39F071AD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Circulaire.dotx</Template>
  <TotalTime>15</TotalTime>
  <Pages>7</Pages>
  <Words>3749</Words>
  <Characters>20621</Characters>
  <Application>Microsoft Office Word</Application>
  <DocSecurity>0</DocSecurity>
  <Lines>171</Lines>
  <Paragraphs>48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Circulaire</vt:lpstr>
      <vt:lpstr>Circulaire</vt:lpstr>
      <vt:lpstr>Circulaire</vt:lpstr>
    </vt:vector>
  </TitlesOfParts>
  <Company>Belgian Senate</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Gisele Raes</dc:creator>
  <cp:lastModifiedBy>Gisele Stevens</cp:lastModifiedBy>
  <cp:revision>9</cp:revision>
  <cp:lastPrinted>2025-02-24T13:44:00Z</cp:lastPrinted>
  <dcterms:created xsi:type="dcterms:W3CDTF">2025-03-11T11:04:00Z</dcterms:created>
  <dcterms:modified xsi:type="dcterms:W3CDTF">2025-03-12T08:53:00Z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0x010100336CDD4E1DAFF84EA755BEC91264F3E6</vt:lpwstr>
  </property>
</Properties>
</file>